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南通市体育彩票管理中心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1、按照国家体育彩票管理的政策和法规，管理全市体育彩票发行工作。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2、负责全市体育彩票销售站点的布局调整、彩票销售网络管理和设备维护。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3、组织销售员业务培训，保障彩民及时兑奖。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4、开展体育彩票政策宣传，监督网点销售活动和资金安全。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综合部、渠道管理部、营销宣传部、技术部、产品部。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（一）深入学习，善于用党的最新理论指导体彩销售实践，迎难而上，科学决策，提升业绩，防范风险，不断推进南通体彩高质量发展。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（二）积极研究新形势下党建和体彩业务工作契合点，不断提高融合党建水平。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（三）加强年轻干部培养，建立健全绩效考评和奖励机制，充分调动一线人员的工作积极性和创造性。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（四）调整渠道政策，推动销售员和业主年轻化。特别是招揽文化程度高、沟通能力强、熟悉足球及竞彩的年轻群体加入竞彩销售队伍。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（五）外部聘请和内部挖掘相结合，建立高质量培训师资队伍，以竞彩销售为重点，为网点销售人员提供多层面的销售技能培训，丰富创新销售手段，激活销售队伍的同时激活市场潜能。</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南通市体育彩票管理中心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南通市体育彩票管理中心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876.87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876.87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876.87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876.87</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876.87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876.87</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876.87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876.87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876.87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056011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南通市体育彩票管理中心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南通市体育彩票管理中心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876.87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876.87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南通市体育彩票管理中心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392.33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367.57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200"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无一般公共预算基本支出，故本表无数据。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彩票发行销售机构业务费安排的支出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2290805</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体育彩票销售机构的业务费支出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5.44</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南通市体育彩票管理中心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南通市体育彩票管理中心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营销宣传工作专项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南通市体育彩票管理中心2025年度收入、支出预算总计876.87万元，与上年相比收、支预算总计各减少127.71万元，减少12.71%。其中：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（一）收入预算总计876.87万元。包括：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1．本年收入合计876.87万元。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876.87万元，与上年相比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（二）支出预算总计876.87万元。包括：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1．本年支出合计876.87万元。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其他支出（类）支出876.87万元，主要用于体育彩票销售机构的业务费支出。与上年相比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南通市体育彩票管理中心2025年收入预算合计876.87万元，包括本年收入876.87万元，上年结转结余0万元。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本年政府性基金预算收入876.87万元，占100%；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南通市体育彩票管理中心2025年支出预算合计876.87万元，其中：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基本支出392.33万元，占44.74%；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项目支出484.54万元，占55.26%；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财政拨款收、支总预算876.87万元。与上年相比，财政拨款收、支总计各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财政拨款预算支出876.87万元，占本年支出合计的100%。与上年相比，财政拨款支出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发行销售机构业务费安排的支出（款）体育彩票销售机构的业务费支出（项）支出876.87万元，与上年相比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南通市体育彩票管理中心2025年度财政拨款基本支出预算392.33万元，其中：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367.57万元。主要包括：基本工资、津贴补贴、奖金、绩效工资、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（二）公用经费24.76万元。主要包括：办公费、水费、电费、邮电费、差旅费、会议费、培训费、公务接待费、工会经费、福利费、其他商品和服务支出。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南通市体育彩票管理中心2025年一般公共预算财政拨款支出预算0万元，与上年预算数相同。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南通市体育彩票管理中心2025年度一般公共预算财政拨款基本支出预算0万元，其中：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政府性基金支出预算支出876.87万元。与上年相比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其他支出（类）彩票发行销售机构业务费安排的支出（款）体育彩票销售机构的业务费支出（项）支出876.87万元，主要是用于体育彩票销售机构的业务费支出。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2025年度政府采购支出预算总额5.44万元，其中：拟采购货物支出0.44万元、拟采购工程支出0万元、拟采购服务支出5万元。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876.87万元；本单位共8个项目纳入绩效目标管理，涉及财政性资金合计484.54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八、其他支出(类)彩票发行销售机构业务费安排的支出(款)体育彩票销售机构的业务费支出(项)</w:t>
      </w:r>
      <w:r>
        <w:rPr>
          <w:rFonts w:ascii="仿宋" w:hAnsi="仿宋" w:cs="仿宋" w:eastAsia="仿宋"/>
          <w:b w:val="true"/>
        </w:rPr>
        <w:t>：</w:t>
      </w:r>
      <w:r>
        <w:rPr>
          <w:rFonts w:hint="eastAsia" w:ascii="仿宋" w:hAnsi="仿宋" w:eastAsia="仿宋" w:cs="仿宋"/>
        </w:rPr>
        <w:t>反映体育彩票销售机构的业务费用支出。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南通市体育彩票管理中心</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