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14:paraId="5E8F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14:paraId="6582E28E">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14:paraId="5332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14:paraId="1DE75410">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2026年度南通市体育局单位预算公开</w:t>
            </w:r>
            <w:r>
              <w:rPr>
                <w:b w:val="on"/>
                <w:rFonts w:ascii="宋体" w:eastAsia="宋体" w:hAnsi="宋体" w:cs="宋体"/>
                <w:sz w:val="52"/>
                <w:u w:color="auto"/>
              </w:rPr>
              <w:t/>
            </w:r>
            <w:r>
              <w:rPr>
                <w:b w:val="on"/>
                <w:rFonts w:ascii="宋体" w:eastAsia="宋体" w:hAnsi="宋体" w:cs="宋体"/>
                <w:sz w:val="52"/>
                <w:u w:color="auto"/>
              </w:rPr>
              <w:t/>
            </w:r>
          </w:p>
        </w:tc>
      </w:tr>
    </w:tbl>
    <w:p w14:paraId="14897ACB">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14:paraId="6AEB147C">
      <w:pPr>
        <w:pStyle w:val="8"/>
        <w:spacing w:before="4" w:after="0"/>
        <w:rPr>
          <w:rFonts w:ascii="华文仿宋" w:hAnsi="华文仿宋" w:eastAsia="华文仿宋" w:cs="仿宋"/>
          <w:sz w:val="10"/>
        </w:rPr>
      </w:pPr>
    </w:p>
    <w:p w14:paraId="739D6A77">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5499024E">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14:paraId="63325B0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14:paraId="502DA453">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14:paraId="658D6902">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14:paraId="552D6E10">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14:paraId="2B33D14A">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u/>
        </w:rPr>
        <w:t>年度</w:t>
      </w:r>
      <w:r>
        <w:rPr>
          <w:b w:val="on"/>
          <w:rFonts w:ascii="仿宋" w:eastAsia="仿宋" w:hAnsi="仿宋" w:cs="仿宋"/>
          <w:u w:color="auto"/>
        </w:rPr>
        <w:t>单位</w:t>
      </w:r>
      <w:r>
        <w:rPr>
          <w:b w:val="on"/>
          <w:rFonts w:ascii="仿宋" w:eastAsia="仿宋" w:hAnsi="仿宋" w:cs="仿宋"/>
          <w:u w:color="auto"/>
        </w:rPr>
        <w:t>预算表</w:t>
      </w:r>
    </w:p>
    <w:p w14:paraId="697B2D1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14:paraId="21CD196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14:paraId="2D83067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14:paraId="436688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14:paraId="5F8EC72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14:paraId="60D300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14:paraId="6CA016C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14:paraId="54387C9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14:paraId="79124BC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14:paraId="31E56A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14:paraId="58E1B9C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14:paraId="5D5451FF">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14:paraId="0C8D45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14:paraId="2B2329B3">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u/>
        </w:rPr>
        <w:t>年度</w:t>
      </w:r>
      <w:r>
        <w:rPr>
          <w:b w:val="on"/>
          <w:color w:val="000000"/>
          <w:rFonts w:ascii="仿宋" w:eastAsia="仿宋" w:hAnsi="仿宋" w:cs="仿宋"/>
          <w:sz w:val="30"/>
          <w:u w:color="auto"/>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14:paraId="17567B92">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14:paraId="3626083D">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14:paraId="62BECF84">
      <w:pPr>
        <w:pStyle w:val="8"/>
        <w:spacing w:before="1" w:after="0"/>
        <w:rPr>
          <w:rFonts w:ascii="华文仿宋" w:hAnsi="华文仿宋" w:eastAsia="华文仿宋" w:cs="仿宋"/>
          <w:sz w:val="14"/>
        </w:rPr>
      </w:pPr>
    </w:p>
    <w:p w14:paraId="6E02EF27">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14:paraId="596E3451">
      <w:pPr>
        <w:ind w:right="504" w:rightChars="229"/>
        <w:jc w:val="both"/>
        <w:rPr>
          <w:rFonts w:hint="eastAsia"/>
        </w:rPr>
      </w:pPr>
    </w:p>
    <w:p w14:paraId="4E0400A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（1）贯彻执行党和国家体育工作的方针政策和各项法律法规，起草体育工作的地方性法规、规章草案，拟订相关政策并督促实施。</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（2）推动多元化体育服务体系建设，推进体育公共服务和体育体制改革。研究全市体育工作的发展战略和发展目标。编制全市体育事业中长期发展规划和年度计划，并对执行情况进行监督检查。</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统筹规划全市群众体育发展，推行全民健身计划。牵头相关部门组织实施国家体育锻炼标准，推动国民体质监测和社会体育指导工作队伍制度建设，推进体育社会化和全民健身活动的开展。加强对健身气功的管理。指导公共体育设施的建设及其监督管理。</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（4）统筹规划全市业余训练项目设置与布局。负责全市业余训练工作的开展和优秀体育后备人才培养输送工作。</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（5）统筹规划全市青少年体育发展，指导和推进青少年体育工作。</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（6）组织参加和承办重大体育比赛。编制并组织实施全市体育竞赛计划，指导、协调、监督全市体育竞赛工作。</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（7）拟订全市体育产业发展规划、政策，规范体育服务管理，推动体育服务标准化建设。负责全市体育彩票发行管理。</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（8）负责组织开展全市体育工作的对外交流与合作。</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（9）组织开展体育科学研究和体育宣传工作。组织开展体育运动中反兴奋剂工作。发展体育教育，制定并实施体育培训规划。</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（10）负责市级体育社会团体的资格审查和业务指导工作。领导市体育总会，指导单项体育协会开展各项活动。</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（11）完成市委、市政府交办的其他任务。</w:t>
      </w:r>
      <w:r>
        <w:rPr>
          <w:rFonts w:ascii="仿宋" w:eastAsia="仿宋" w:hAnsi="仿宋" w:cs="仿宋"/>
          <w:u w:color="auto"/>
        </w:rPr>
        <w:t/>
      </w:r>
    </w:p>
    <w:p w14:paraId="6B17DDC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u/>
        </w:rPr>
        <w:t>二、</w:t>
      </w:r>
      <w:r>
        <w:rPr>
          <w:b w:val="on"/>
          <w:rFonts w:ascii="仿宋" w:eastAsia="仿宋" w:hAnsi="仿宋" w:cs="仿宋"/>
          <w:u w:color="auto"/>
        </w:rPr>
        <w:t>单位</w:t>
      </w:r>
      <w:r>
        <w:rPr>
          <w:rFonts w:hint="eastAsia" w:ascii="仿宋" w:hAnsi="仿宋" w:eastAsia="仿宋" w:cs="仿宋"/>
          <w:b/>
          <w:bCs/>
        </w:rPr>
        <w:t>机构设置及预算单位构成情况</w:t>
      </w:r>
    </w:p>
    <w:p w14:paraId="77273F3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ascii="仿宋" w:eastAsia="仿宋" w:hAnsi="仿宋" w:cs="仿宋"/>
          <w:u w:color="auto"/>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eastAsia="仿宋" w:hAnsi="仿宋" w:cs="仿宋"/>
          <w:u w:color="auto"/>
        </w:rPr>
        <w:t/>
      </w:r>
      <w:r>
        <w:rPr>
          <w:rFonts w:ascii="仿宋" w:eastAsia="仿宋" w:hAnsi="仿宋" w:cs="仿宋"/>
          <w:u w:color="auto"/>
        </w:rPr>
        <w:t>本单位内设机构包括：</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办公室（安全生产监管处）、群众体育处（行政服务处）、竞技体育处、体育经济处（行政执法处）。</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本单位下属单位包括：南通市体育运动学校（南通市体育科学研究所）、南通市儿童业余体育学校、南通市体育彩票管理中心、南通市体育馆。</w:t>
      </w:r>
      <w:r>
        <w:rPr>
          <w:rFonts w:ascii="仿宋" w:eastAsia="仿宋" w:hAnsi="仿宋" w:cs="仿宋"/>
          <w:u w:color="auto"/>
        </w:rPr>
        <w:t/>
      </w:r>
      <w:r>
        <w:rPr>
          <w:rFonts w:ascii="仿宋" w:eastAsia="仿宋" w:hAnsi="仿宋" w:cs="仿宋"/>
          <w:u w:color="auto"/>
        </w:rPr>
        <w:t/>
      </w:r>
    </w:p>
    <w:p w14:paraId="17E355E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u/>
        </w:rPr>
        <w:t>年度</w:t>
      </w:r>
      <w:r>
        <w:rPr>
          <w:b w:val="on"/>
          <w:rFonts w:ascii="仿宋" w:eastAsia="仿宋" w:hAnsi="仿宋" w:cs="仿宋"/>
          <w:u w:color="auto"/>
        </w:rPr>
        <w:t>单位</w:t>
      </w:r>
      <w:r>
        <w:rPr>
          <w:b w:val="on"/>
          <w:rFonts w:ascii="仿宋" w:eastAsia="仿宋" w:hAnsi="仿宋" w:cs="仿宋"/>
          <w:u w:color="auto"/>
        </w:rPr>
        <w:t>主要工作任务及目标</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（一）构建更高水平公共服务体系</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加快场地设施建设。依托体育场馆、户外运动空间、商业载体等因地制宜打造一批体育服务综合体，打造“家门口”活力运动空间，用好城市“金角银边”，新建、改建口袋公园、健身步道、球场，配套打造跑步驿站，确保为民办实事项目落地见效。锚定全市人均体育场地面积突破4.8平方米的目标，完成年内新增150万平方米场地建设。</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丰富群众体育赛事供给。结合行走大运河、全民健身日等，组织开展好各级各类全民健身赛事活动，让各类运动百花齐放，满足群众多元化参赛观赛需求。加强体育赛事品牌创新，培育社会影响力大、知名度高的业余精品赛事，积极营造全民健身浓厚氛围。</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强化科学指导能力。不断壮大社会体育指导员队伍，激活群众体育自组织能力，深入开展全民健身志愿服务活动，组织社会体育指导员等进社区、进乡村、进企业、进学校开展科学健身公益讲座培训；持续开展国民体质监测和健康评价服务；加强体医融合，培育“运动处方师”队伍，让科学健身理念深入人心。</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4、强化体育社会组织培育监管。强化党的建设与制度建设，加强体育协会规范化管理，针对“僵尸型”及未年检的社会组织要组织开展专项清理，严格落实协会换届选举制度，严格落实协会年检工作要求。鼓励和引导各级各类协会俱乐部积极参与等级评估，支持其依法依规、充满活力地发挥作用。</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（二）提升竞技体育为国争光能力</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5、全力做好办赛参赛。积极争取承办高水平赛事，以赛促训、以赛提质，借赛事平台提升竞技体育水平和城市影响力。全力备战省运会、亚运会等重大赛事，各训练单位要立足自身优势，补齐发展短板，以“精兵之路”为发展方向，围绕“保七争六望五”的省运会参赛目标，科学选拔组队、精准训练备战，确保不折不扣完成参赛任务。</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6、加强两级体校建设。全面推进落实“国家奥运后备人才梯队”共建城市工作，围绕国家“633”计划，各县（市、区）要协调人员编制、经费投入、项目设置，确保每个少体校重点布局至少3个优势项目，不少于150名在训运动员，全面提升少体校人才培养输送质量。认真贯彻《关于在全市学校设置教练员岗位的实施意见》，积极落实在各级学校设置教练员岗位工作，招聘引进紧缺教练员，不断提升学校体育工作水平。</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7、不断深化体教融合。推动少体校与学校深度合作，优化教练员岗位设置与管理，促进优质体育资源共享。强化体教联盟，加强与基层小学、幼儿园联办共建、合作选材，开展送教和送器材进园等活动，不断拓宽选材渠道。加强体育传统学校、特色学校建设，培育足球特色学校不少于100所，持续推进“一校一品”项目建设，全力将特色项目纳入体育课课程，体育教师业务提升培训不少于10期，开展特色项目学校竞赛活动不少于10次。打造有影响力的“市队校办”“县队校办”运动队，放大“名校办名队”的“头雁效应”。完善青少年体育赛事体系，为青少年搭建更多展示交流平台，打通人才输送通道，促进青少年全面发展。</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8、深入推进足球改革发展。持之以恒抓好足球青训，成立市级足球训练中心，争创省级足球青训基地，支持支云俱乐部、珂缔缘俱乐部晋级进位，持续推动职业足球、校园足球、社会足球、业训足球协调发展。</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（三）推动体育产业高质量发展</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9、构建体育产业发展新格局。推动体育产业要素合理集聚、功能互补、错位发展，各县（市、区）要紧扣全市发展规划，围绕沿海发展布局，找准定位、明确方向，共同构建“一核两带三区”发展新格局。</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10、建设高质量户外运动目的地。在沿江沿海重点发展船艇、桨板、龙舟等水上运动，发展航模、定向、骑行等综合性户外项目，发展无人机、热气球、动力伞、风筝等低空项目，培育形成沿江地区全域覆盖的“水陆空”发展模式。</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11、强化企业培育与招引。积极对接北京、上海体育产业资源，积极招引二产类、三产类体育企业落户南通，形成体育产业发展新优势。体育服务业规上企业营业收入增幅目标15%，体育业从业人员工资总额增幅目标10%。</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12、持续深耕赛事经济。深化“南通有请跟着赛事去旅行”IP影响力，积极申办国际国内高端赛事，持续打造苏超、通超、长三角龙舟赛等品牌赛事，全市举办“足球嘉年华”活动不少于12场。与“南通好玩”系列活动相结合，将赛事与本地景区、街区、商圈深度联动，带动消费升级。</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13、拓宽体彩销售市场。加大体彩销售力度，创新销售形式，力争全年体彩销售总量持续稳定增长，确保彩票销售苏中苏北第一。</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（四）促进体育事业稳步发展</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14、切实强化党建引领。以习近平新时代中国特色社会主义思想为指导，以高质量党建引领保障高质量发展，全面压实管党治党政治责任，抓好党风廉政建设，全面一体落实好党的自我革命“五个进一步到位”要求，持续正风肃纪反腐。巩固拓展深入贯彻中央八项规定精神学习教育成果，筑牢思想防线，推动党建与中心工作深度融合，扎实推进党的基层基础建设，不折不扣地贯彻好、执行好党的体育工作方针政策和各项部署要求。</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15、狠抓作风行风建设。持续开展“机关作风提升年”“营商环境提升年”活动，推进作风建设常态化长效化，加强体育干部队伍和专业人才队伍建设，营造风清气正的政治生态和干事创业的良好环境。开展体育系统“规范发展年”活动，规范发展安全管理、协会管理、采购管理等重点工作，以规范化建设推动体育事业高质量发展。</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16、筑牢意识形态阵地。强化阵地管理与舆情引导，突出抓好网络意识形态安全，严格执行“三审三校”制度，加强“三微一端”、讲座论坛、宣传刊物等意识形态阵地管理和风险防控。做好突发事件和重要紧急情况信息报告，构建网络舆情管理闭环。加大体育宣传力度，注重培育特色、放大优势、打造品牌。各县（市、区）要加强体育协会党建引领，引导其自觉遵守意识形态工作要求，筑牢安全防线、守牢舆论阵地。</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17、维护体育安全稳定。坚持发展与安全并重，加强赛风赛纪管理，做好反兴奋剂工作。加大对经营高危险性体育项目、体育场馆、健身场所等重点领域、重点部位的安全检查力度，加强对健身路径等设施的日常安全检查和维护保养，及时整改消除安全隐患。加强各类赛事活动的指导、监管与检查，各县（市、区）要切实履行赛前赛中赛后监管责任，所有赛事严格制定安全风险防范方案、赛事组织方案、安保方案、医疗保障方案、应急预案、熔断机制等。建立健全赛事报备制度，各类赛事赛前需向属地体育部门报备，坚决守住社会组织赛事安全底线。</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18、推进体育法治建设。强化体育法治保障，出台进一步加强体育赛事活动管理的指导意见，保障赛事活动安全、有序、健康发展，提升行业治理规范化水平。严格行政审批和行政执法要求，加大“双随机、一公开”监管力度，提升政务服务水平，推进体育单用途预付卡资金和体育类校外培训机构资金监管工作，保护消费者权益。</w:t>
      </w:r>
      <w:r>
        <w:rPr>
          <w:rFonts w:ascii="仿宋" w:eastAsia="仿宋" w:hAnsi="仿宋" w:cs="仿宋"/>
          <w:u w:color="auto"/>
        </w:rPr>
        <w:t/>
      </w:r>
    </w:p>
    <w:p w14:paraId="60B181B9">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22ACF44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14:paraId="272DDB3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2D8EBC2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6F080D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9DBE682">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4341A017">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1DCEEF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7D7F2C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14:paraId="2C05E6B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14:paraId="199236A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南通市体育局</w:t>
      </w:r>
    </w:p>
    <w:p w14:paraId="341EDBD7">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u/>
        </w:rPr>
        <w:t>单位</w:t>
      </w:r>
      <w:r>
        <w:rPr>
          <w:b w:val="on"/>
          <w:rFonts w:ascii="仿宋" w:eastAsia="仿宋" w:hAnsi="仿宋" w:cs="仿宋"/>
          <w:sz w:val="44"/>
          <w:u w:color="auto"/>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6B843739">
        <w:tblPrEx>
          <w:tblCellMar>
            <w:top w:w="0" w:type="dxa"/>
            <w:left w:w="108" w:type="dxa"/>
            <w:bottom w:w="0" w:type="dxa"/>
            <w:right w:w="108" w:type="dxa"/>
          </w:tblCellMar>
        </w:tblPrEx>
        <w:trPr>
          <w:trHeight w:val="116" w:hRule="atLeast"/>
          <w:jc w:val="center"/>
        </w:trPr>
        <w:tc>
          <w:tcPr>
            <w:tcW w:w="11329" w:type="dxa"/>
            <w:gridSpan w:val="5"/>
            <w:vAlign w:val="center"/>
          </w:tcPr>
          <w:p w14:paraId="702297EC">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14:paraId="1764F984">
        <w:tblPrEx>
          <w:tblCellMar>
            <w:top w:w="0" w:type="dxa"/>
            <w:left w:w="108" w:type="dxa"/>
            <w:bottom w:w="0" w:type="dxa"/>
            <w:right w:w="108" w:type="dxa"/>
          </w:tblCellMar>
        </w:tblPrEx>
        <w:trPr>
          <w:trHeight w:val="348" w:hRule="atLeast"/>
          <w:jc w:val="center"/>
        </w:trPr>
        <w:tc>
          <w:tcPr>
            <w:tcW w:w="11329" w:type="dxa"/>
            <w:gridSpan w:val="5"/>
          </w:tcPr>
          <w:p w14:paraId="5C8D19CF">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14:paraId="24120ED6">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0821509B">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color w:val="000000"/>
                <w:sz w:val="22"/>
                <w:szCs w:val="22"/>
                <w:lang w:eastAsia="ar-SA"/>
              </w:rPr>
              <w:t>南通市体育局</w:t>
            </w:r>
          </w:p>
        </w:tc>
        <w:tc>
          <w:tcPr>
            <w:tcW w:w="1848" w:type="dxa"/>
            <w:gridSpan w:val="2"/>
            <w:tcBorders>
              <w:bottom w:val="single" w:color="000000" w:sz="4" w:space="0"/>
            </w:tcBorders>
            <w:vAlign w:val="center"/>
          </w:tcPr>
          <w:p w14:paraId="23651FFA">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14:paraId="3702B088">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3FD8F87B">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54A7E373">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14:paraId="1F1A563E">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454410D">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4A579FD4">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FF373DD">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6220095F">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1,519.26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1,200.41</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318.85</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1F33EBB7">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17926F">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38DEB73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1,519.26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6DD57B8">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6382C9F7">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1,519.26</w:t>
            </w:r>
          </w:p>
        </w:tc>
      </w:tr>
      <w:tr w14:paraId="329AFA72">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4C8D4B2">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3E159CD5">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FC60096">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3704249E">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
            </w:r>
          </w:p>
        </w:tc>
      </w:tr>
      <w:tr w14:paraId="76EB94B8">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222249">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4BCA5632">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1,519.26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97845E3">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5365208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1,519.26</w:t>
            </w:r>
          </w:p>
        </w:tc>
      </w:tr>
    </w:tbl>
    <w:p w14:paraId="6C3B3BB7">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38C4B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6B2E0BE6">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14:paraId="2F2C6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1E7DD5A7">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331B0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2E442F95">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南通市体育局</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64D72F53">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14:paraId="6835C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4B3A1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E94BD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97B8B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9015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DBFDD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14:paraId="352CE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69B3E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824EB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72CFE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45D3E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9D190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F7B0A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C7D35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6CBF6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C8E72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14:paraId="15E0551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43B4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F201C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DF3CD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52065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14:paraId="7B512B5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B67ED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CFAAE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A0283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C79A7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8A4F5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08089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14:paraId="1760D3E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14:paraId="6B81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512FF8">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4F33B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1,519.26</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E495F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1,519.26</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5EBDD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1,519.26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CD33D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32720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7C9D9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42198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ABB5A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7091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A9507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76769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D17D0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0118D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973A8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67099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E9FE4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CAED8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14:paraId="02F5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05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056001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5AA9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南通市体育局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FF9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1,519.26</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45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1,519.26</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7E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1,519.26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AF5C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3B2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0D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FFE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34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197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8F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6E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70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98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DB0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E06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8FB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EC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14:paraId="05EA3505">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44611C65">
        <w:tblPrEx>
          <w:tblCellMar>
            <w:top w:w="55" w:type="dxa"/>
            <w:left w:w="55" w:type="dxa"/>
            <w:bottom w:w="55" w:type="dxa"/>
            <w:right w:w="55" w:type="dxa"/>
          </w:tblCellMar>
        </w:tblPrEx>
        <w:trPr>
          <w:trHeight w:val="341" w:hRule="atLeast"/>
        </w:trPr>
        <w:tc>
          <w:tcPr>
            <w:tcW w:w="15347" w:type="dxa"/>
            <w:gridSpan w:val="8"/>
            <w:vAlign w:val="center"/>
          </w:tcPr>
          <w:p w14:paraId="7061346E">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14:paraId="30701D2B">
        <w:tblPrEx>
          <w:tblCellMar>
            <w:top w:w="55" w:type="dxa"/>
            <w:left w:w="55" w:type="dxa"/>
            <w:bottom w:w="55" w:type="dxa"/>
            <w:right w:w="55" w:type="dxa"/>
          </w:tblCellMar>
        </w:tblPrEx>
        <w:trPr>
          <w:trHeight w:val="321" w:hRule="atLeast"/>
        </w:trPr>
        <w:tc>
          <w:tcPr>
            <w:tcW w:w="15347" w:type="dxa"/>
            <w:gridSpan w:val="8"/>
            <w:vAlign w:val="center"/>
          </w:tcPr>
          <w:p w14:paraId="314D5A46">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51B21317">
        <w:tblPrEx>
          <w:tblCellMar>
            <w:top w:w="55" w:type="dxa"/>
            <w:left w:w="55" w:type="dxa"/>
            <w:bottom w:w="55" w:type="dxa"/>
            <w:right w:w="55" w:type="dxa"/>
          </w:tblCellMar>
        </w:tblPrEx>
        <w:trPr>
          <w:trHeight w:val="218" w:hRule="atLeast"/>
        </w:trPr>
        <w:tc>
          <w:tcPr>
            <w:tcW w:w="12030" w:type="dxa"/>
            <w:gridSpan w:val="6"/>
            <w:vAlign w:val="center"/>
          </w:tcPr>
          <w:p w14:paraId="73FF809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南通市体育局</w:t>
            </w:r>
          </w:p>
        </w:tc>
        <w:tc>
          <w:tcPr>
            <w:tcW w:w="3317" w:type="dxa"/>
            <w:gridSpan w:val="2"/>
            <w:vAlign w:val="center"/>
          </w:tcPr>
          <w:p w14:paraId="232D1AB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7A36CF1">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4A31811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14:paraId="0470B43A">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14:paraId="4035FCF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14:paraId="6DEB6C4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14:paraId="5D483D2D">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14:paraId="2C083FE1">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14:paraId="2282AC7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14:paraId="4EC4AC47">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7275282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14:paraId="2436251E">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26D30828">
            <w:pPr>
              <w:pStyle w:val="22"/>
              <w:widowControl w:val="0"/>
              <w:jc w:val="center"/>
              <w:rPr>
                <w:rFonts w:hint="eastAsia" w:ascii="仿宋" w:hAnsi="仿宋" w:eastAsia="仿宋" w:cs="仿宋"/>
                <w:sz w:val="22"/>
                <w:szCs w:val="22"/>
              </w:rPr>
            </w:pPr>
            <w:r>
              <w:rPr>
                <w:rFonts w:hint="eastAsia" w:ascii="仿宋" w:hAnsi="仿宋" w:eastAsia="仿宋" w:cs="仿宋"/>
                <w:sz w:val="22"/>
                <w:szCs w:val="22"/>
                <w:u/>
              </w:rPr>
              <w:t/>
            </w:r>
            <w:r>
              <w:rPr>
                <w:rFonts w:ascii="仿宋" w:eastAsia="仿宋" w:hAnsi="仿宋" w:cs="仿宋"/>
                <w:sz w:val="22"/>
                <w:u w:color="auto"/>
              </w:rPr>
              <w:t>合计</w:t>
            </w:r>
          </w:p>
        </w:tc>
        <w:tc>
          <w:tcPr>
            <w:tcW w:w="1920" w:type="dxa"/>
            <w:tcBorders>
              <w:left w:val="single" w:color="000000" w:sz="4" w:space="0"/>
              <w:bottom w:val="single" w:color="000000" w:sz="4" w:space="0"/>
            </w:tcBorders>
            <w:vAlign w:val="center"/>
          </w:tcPr>
          <w:p w14:paraId="0B5646C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1,519.26</w:t>
            </w:r>
          </w:p>
        </w:tc>
        <w:tc>
          <w:tcPr>
            <w:tcW w:w="1714" w:type="dxa"/>
            <w:tcBorders>
              <w:left w:val="single" w:color="000000" w:sz="4" w:space="0"/>
              <w:bottom w:val="single" w:color="000000" w:sz="4" w:space="0"/>
            </w:tcBorders>
            <w:vAlign w:val="center"/>
          </w:tcPr>
          <w:p w14:paraId="7AC1DCF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1,185.28</w:t>
            </w:r>
          </w:p>
        </w:tc>
        <w:tc>
          <w:tcPr>
            <w:tcW w:w="1749" w:type="dxa"/>
            <w:tcBorders>
              <w:left w:val="single" w:color="000000" w:sz="4" w:space="0"/>
              <w:bottom w:val="single" w:color="000000" w:sz="4" w:space="0"/>
            </w:tcBorders>
            <w:vAlign w:val="center"/>
          </w:tcPr>
          <w:p w14:paraId="3D172D4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333.98</w:t>
            </w:r>
          </w:p>
        </w:tc>
        <w:tc>
          <w:tcPr>
            <w:tcW w:w="1868" w:type="dxa"/>
            <w:tcBorders>
              <w:left w:val="single" w:color="000000" w:sz="4" w:space="0"/>
              <w:bottom w:val="single" w:color="000000" w:sz="4" w:space="0"/>
            </w:tcBorders>
            <w:vAlign w:val="center"/>
          </w:tcPr>
          <w:p w14:paraId="2CBEB3F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14:paraId="0456E32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14:paraId="725A005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207</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文化旅游体育与传媒支出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1,200.41</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866.43</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333.98</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20703</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体育</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1,200.41</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866.43</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333.98</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2070301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866.43</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866.43</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2070302</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22.28</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22.28</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2070306</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体育训练</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38.00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38.00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2070307</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体育场馆</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188.70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188.70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2070308</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群众体育</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85.00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85.00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318.85</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318.85</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318.85</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318.85</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84.37</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84.37</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234.48</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234.48</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14:paraId="6F47FE99">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76E67744">
        <w:tblPrEx>
          <w:tblCellMar>
            <w:top w:w="55" w:type="dxa"/>
            <w:left w:w="55" w:type="dxa"/>
            <w:bottom w:w="55" w:type="dxa"/>
            <w:right w:w="55" w:type="dxa"/>
          </w:tblCellMar>
        </w:tblPrEx>
        <w:trPr>
          <w:trHeight w:val="319" w:hRule="atLeast"/>
        </w:trPr>
        <w:tc>
          <w:tcPr>
            <w:tcW w:w="15789" w:type="dxa"/>
            <w:gridSpan w:val="4"/>
          </w:tcPr>
          <w:p w14:paraId="62E867CC">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14:paraId="1820DDA8">
        <w:tblPrEx>
          <w:tblCellMar>
            <w:top w:w="55" w:type="dxa"/>
            <w:left w:w="55" w:type="dxa"/>
            <w:bottom w:w="55" w:type="dxa"/>
            <w:right w:w="55" w:type="dxa"/>
          </w:tblCellMar>
        </w:tblPrEx>
        <w:trPr>
          <w:trHeight w:val="319" w:hRule="atLeast"/>
        </w:trPr>
        <w:tc>
          <w:tcPr>
            <w:tcW w:w="15789" w:type="dxa"/>
            <w:gridSpan w:val="4"/>
          </w:tcPr>
          <w:p w14:paraId="3FB28F56">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14:paraId="00B5EFFF">
        <w:tblPrEx>
          <w:tblCellMar>
            <w:top w:w="55" w:type="dxa"/>
            <w:left w:w="55" w:type="dxa"/>
            <w:bottom w:w="55" w:type="dxa"/>
            <w:right w:w="55" w:type="dxa"/>
          </w:tblCellMar>
        </w:tblPrEx>
        <w:trPr>
          <w:trHeight w:val="319" w:hRule="atLeast"/>
        </w:trPr>
        <w:tc>
          <w:tcPr>
            <w:tcW w:w="11890" w:type="dxa"/>
            <w:gridSpan w:val="3"/>
          </w:tcPr>
          <w:p w14:paraId="397DE508">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sz w:val="22"/>
                <w:szCs w:val="22"/>
              </w:rPr>
              <w:t>南通市体育局</w:t>
            </w:r>
          </w:p>
        </w:tc>
        <w:tc>
          <w:tcPr>
            <w:tcW w:w="3899" w:type="dxa"/>
            <w:vAlign w:val="center"/>
          </w:tcPr>
          <w:p w14:paraId="53F407E4">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8DBC8FC">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4627C4B5">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4ABF517F">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14:paraId="3B93835E">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3B46D60A">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u/>
              </w:rPr>
              <w:t/>
            </w:r>
            <w:r>
              <w:rPr>
                <w:b w:val="on"/>
                <w:rFonts w:ascii="仿宋" w:eastAsia="仿宋" w:hAnsi="仿宋" w:cs="仿宋"/>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14:paraId="39117F34">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14:paraId="360C3CE6">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14:paraId="0A0EBC85">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1,519.26</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1,519.26</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1,519.26</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1,200.41</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318.85</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3F2BB7B5">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52476F76">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14:paraId="50DBCC23">
            <w:pPr>
              <w:widowControl w:val="0"/>
              <w:jc w:val="right"/>
              <w:rPr>
                <w:rFonts w:hint="eastAsia" w:ascii="仿宋" w:hAnsi="仿宋" w:eastAsia="仿宋" w:cs="仿宋"/>
                <w:sz w:val="22"/>
                <w:szCs w:val="22"/>
              </w:rPr>
            </w:pPr>
            <w:r>
              <w:rPr>
                <w:rFonts w:hint="eastAsia" w:ascii="仿宋" w:hAnsi="仿宋" w:eastAsia="仿宋" w:cs="仿宋"/>
                <w:sz w:val="22"/>
                <w:szCs w:val="22"/>
              </w:rPr>
              <w:t>1,519.26</w:t>
            </w:r>
          </w:p>
        </w:tc>
        <w:tc>
          <w:tcPr>
            <w:tcW w:w="3943" w:type="dxa"/>
            <w:tcBorders>
              <w:left w:val="single" w:color="000000" w:sz="4" w:space="0"/>
              <w:bottom w:val="single" w:color="000000" w:sz="4" w:space="0"/>
            </w:tcBorders>
            <w:vAlign w:val="center"/>
          </w:tcPr>
          <w:p w14:paraId="72FA9CBD">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14:paraId="0A3CBB07">
            <w:pPr>
              <w:widowControl w:val="0"/>
              <w:jc w:val="right"/>
              <w:rPr>
                <w:rFonts w:hint="eastAsia" w:ascii="仿宋" w:hAnsi="仿宋" w:eastAsia="仿宋" w:cs="仿宋"/>
                <w:sz w:val="22"/>
                <w:szCs w:val="22"/>
              </w:rPr>
            </w:pPr>
            <w:r>
              <w:rPr>
                <w:rFonts w:hint="eastAsia" w:ascii="仿宋" w:hAnsi="仿宋" w:eastAsia="仿宋" w:cs="仿宋"/>
                <w:sz w:val="22"/>
                <w:szCs w:val="22"/>
              </w:rPr>
              <w:t>1,519.26</w:t>
            </w:r>
          </w:p>
        </w:tc>
      </w:tr>
    </w:tbl>
    <w:p w14:paraId="18BF5FBD">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781504FE">
        <w:tblPrEx>
          <w:tblCellMar>
            <w:top w:w="55" w:type="dxa"/>
            <w:left w:w="55" w:type="dxa"/>
            <w:bottom w:w="55" w:type="dxa"/>
            <w:right w:w="55" w:type="dxa"/>
          </w:tblCellMar>
        </w:tblPrEx>
        <w:trPr>
          <w:trHeight w:val="321" w:hRule="atLeast"/>
        </w:trPr>
        <w:tc>
          <w:tcPr>
            <w:tcW w:w="15216" w:type="dxa"/>
            <w:gridSpan w:val="7"/>
            <w:vAlign w:val="center"/>
          </w:tcPr>
          <w:p w14:paraId="344B416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14:paraId="0DD1905D">
        <w:tblPrEx>
          <w:tblCellMar>
            <w:top w:w="55" w:type="dxa"/>
            <w:left w:w="55" w:type="dxa"/>
            <w:bottom w:w="55" w:type="dxa"/>
            <w:right w:w="55" w:type="dxa"/>
          </w:tblCellMar>
        </w:tblPrEx>
        <w:trPr>
          <w:trHeight w:val="321" w:hRule="atLeast"/>
        </w:trPr>
        <w:tc>
          <w:tcPr>
            <w:tcW w:w="15216" w:type="dxa"/>
            <w:gridSpan w:val="7"/>
          </w:tcPr>
          <w:p w14:paraId="3979B85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14:paraId="597F73CC">
        <w:tblPrEx>
          <w:tblCellMar>
            <w:top w:w="55" w:type="dxa"/>
            <w:left w:w="55" w:type="dxa"/>
            <w:bottom w:w="55" w:type="dxa"/>
            <w:right w:w="55" w:type="dxa"/>
          </w:tblCellMar>
        </w:tblPrEx>
        <w:trPr>
          <w:trHeight w:val="309" w:hRule="atLeast"/>
        </w:trPr>
        <w:tc>
          <w:tcPr>
            <w:tcW w:w="13552" w:type="dxa"/>
            <w:gridSpan w:val="6"/>
          </w:tcPr>
          <w:p w14:paraId="4FF30C2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南通市体育局</w:t>
            </w:r>
          </w:p>
        </w:tc>
        <w:tc>
          <w:tcPr>
            <w:tcW w:w="1664" w:type="dxa"/>
            <w:vAlign w:val="center"/>
          </w:tcPr>
          <w:p w14:paraId="3A0AD50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72EB53EE">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6B53EBE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14:paraId="596BB34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14:paraId="7309852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14:paraId="358079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14:paraId="045615D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14:paraId="01EF94C3">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154AA0F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14:paraId="7690009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14:paraId="3FA268C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14:paraId="5B38143E">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14:paraId="4C4F172F">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14:paraId="4F619415">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14:paraId="39AA244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14:paraId="40F8EE40">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702733D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14:paraId="04A5033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1,519.26</w:t>
            </w:r>
          </w:p>
        </w:tc>
        <w:tc>
          <w:tcPr>
            <w:tcW w:w="1827" w:type="dxa"/>
            <w:tcBorders>
              <w:left w:val="single" w:color="000000" w:sz="6" w:space="0"/>
              <w:bottom w:val="single" w:color="000000" w:sz="6" w:space="0"/>
            </w:tcBorders>
          </w:tcPr>
          <w:p w14:paraId="721253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1,185.28</w:t>
            </w:r>
          </w:p>
        </w:tc>
        <w:tc>
          <w:tcPr>
            <w:tcW w:w="1813" w:type="dxa"/>
            <w:tcBorders>
              <w:left w:val="single" w:color="000000" w:sz="6" w:space="0"/>
              <w:bottom w:val="single" w:color="000000" w:sz="6" w:space="0"/>
            </w:tcBorders>
          </w:tcPr>
          <w:p w14:paraId="2146873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1,083.16</w:t>
            </w:r>
          </w:p>
        </w:tc>
        <w:tc>
          <w:tcPr>
            <w:tcW w:w="1813" w:type="dxa"/>
            <w:tcBorders>
              <w:left w:val="single" w:color="000000" w:sz="6" w:space="0"/>
              <w:bottom w:val="single" w:color="000000" w:sz="6" w:space="0"/>
            </w:tcBorders>
          </w:tcPr>
          <w:p w14:paraId="325352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102.12</w:t>
            </w:r>
          </w:p>
        </w:tc>
        <w:tc>
          <w:tcPr>
            <w:tcW w:w="1664" w:type="dxa"/>
            <w:tcBorders>
              <w:left w:val="single" w:color="000000" w:sz="6" w:space="0"/>
              <w:bottom w:val="single" w:color="000000" w:sz="6" w:space="0"/>
              <w:right w:val="single" w:color="000000" w:sz="6" w:space="0"/>
            </w:tcBorders>
          </w:tcPr>
          <w:p w14:paraId="1DC734D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333.98</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207</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文化旅游体育与传媒支出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1,200.41</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866.43</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764.31</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102.12</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333.98</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20703</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体育</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1,200.41</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866.43</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764.31</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102.12</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333.98</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2070301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866.43</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866.43</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764.31</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102.12</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2070302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22.28</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22.28</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2070306</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体育训练</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38.00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2070307</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体育场馆</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188.70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188.70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2070308</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群众体育</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85.00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318.85</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318.85</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318.85</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318.85</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318.85</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318.85</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84.37</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84.37</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84.37</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234.48</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234.48</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234.48</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14:paraId="6144A040">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0A669AC6">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6C9496A1">
        <w:tblPrEx>
          <w:tblCellMar>
            <w:top w:w="55" w:type="dxa"/>
            <w:left w:w="55" w:type="dxa"/>
            <w:bottom w:w="55" w:type="dxa"/>
            <w:right w:w="55" w:type="dxa"/>
          </w:tblCellMar>
        </w:tblPrEx>
        <w:trPr>
          <w:trHeight w:val="319" w:hRule="atLeast"/>
        </w:trPr>
        <w:tc>
          <w:tcPr>
            <w:tcW w:w="10817" w:type="dxa"/>
            <w:gridSpan w:val="5"/>
            <w:vAlign w:val="center"/>
          </w:tcPr>
          <w:p w14:paraId="5B4201F6">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14:paraId="16CF153D">
        <w:tblPrEx>
          <w:tblCellMar>
            <w:top w:w="55" w:type="dxa"/>
            <w:left w:w="55" w:type="dxa"/>
            <w:bottom w:w="55" w:type="dxa"/>
            <w:right w:w="55" w:type="dxa"/>
          </w:tblCellMar>
        </w:tblPrEx>
        <w:trPr>
          <w:trHeight w:val="319" w:hRule="atLeast"/>
        </w:trPr>
        <w:tc>
          <w:tcPr>
            <w:tcW w:w="10817" w:type="dxa"/>
            <w:gridSpan w:val="5"/>
          </w:tcPr>
          <w:p w14:paraId="2DF9A6DA">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14:paraId="61428C1F">
        <w:tblPrEx>
          <w:tblCellMar>
            <w:top w:w="55" w:type="dxa"/>
            <w:left w:w="55" w:type="dxa"/>
            <w:bottom w:w="55" w:type="dxa"/>
            <w:right w:w="55" w:type="dxa"/>
          </w:tblCellMar>
        </w:tblPrEx>
        <w:trPr>
          <w:trHeight w:val="319" w:hRule="atLeast"/>
        </w:trPr>
        <w:tc>
          <w:tcPr>
            <w:tcW w:w="8760" w:type="dxa"/>
            <w:gridSpan w:val="4"/>
          </w:tcPr>
          <w:p w14:paraId="5F7506DC">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sz w:val="22"/>
                <w:szCs w:val="22"/>
              </w:rPr>
              <w:t>南通市体育局</w:t>
            </w:r>
          </w:p>
        </w:tc>
        <w:tc>
          <w:tcPr>
            <w:tcW w:w="2057" w:type="dxa"/>
            <w:vAlign w:val="center"/>
          </w:tcPr>
          <w:p w14:paraId="6C4E20D2">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22FFB9C6">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02A4A69D">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3A654AB3">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14:paraId="3135FA81">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20B4517E">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0810D023">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7B983408">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15CA38C0">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1888E2CD">
            <w:pPr>
              <w:pStyle w:val="22"/>
              <w:widowControl w:val="0"/>
              <w:jc w:val="center"/>
              <w:rPr>
                <w:rFonts w:hint="eastAsia" w:ascii="仿宋" w:hAnsi="仿宋" w:eastAsia="仿宋" w:cs="仿宋"/>
              </w:rPr>
            </w:pPr>
            <w:r>
              <w:rPr>
                <w:rFonts w:hint="eastAsia" w:ascii="仿宋" w:hAnsi="仿宋" w:eastAsia="仿宋" w:cs="仿宋"/>
              </w:rPr>
              <w:t>公用经费</w:t>
            </w:r>
          </w:p>
        </w:tc>
      </w:tr>
      <w:tr w14:paraId="39E08D31">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2046E541">
            <w:pPr>
              <w:pStyle w:val="22"/>
              <w:widowControl w:val="0"/>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2047" w:type="dxa"/>
            <w:tcBorders>
              <w:left w:val="single" w:color="000000" w:sz="4" w:space="0"/>
              <w:bottom w:val="single" w:color="000000" w:sz="4" w:space="0"/>
            </w:tcBorders>
            <w:vAlign w:val="center"/>
          </w:tcPr>
          <w:p w14:paraId="0DAA66E4">
            <w:pPr>
              <w:pStyle w:val="22"/>
              <w:widowControl w:val="0"/>
              <w:jc w:val="right"/>
              <w:rPr>
                <w:rFonts w:hint="eastAsia" w:ascii="仿宋" w:hAnsi="仿宋" w:eastAsia="仿宋" w:cs="仿宋"/>
              </w:rPr>
            </w:pPr>
            <w:r>
              <w:rPr>
                <w:rFonts w:hint="eastAsia" w:ascii="仿宋" w:hAnsi="仿宋" w:eastAsia="仿宋" w:cs="仿宋"/>
              </w:rPr>
              <w:t>1,185.28</w:t>
            </w:r>
          </w:p>
        </w:tc>
        <w:tc>
          <w:tcPr>
            <w:tcW w:w="2040" w:type="dxa"/>
            <w:tcBorders>
              <w:left w:val="single" w:color="000000" w:sz="4" w:space="0"/>
              <w:bottom w:val="single" w:color="000000" w:sz="4" w:space="0"/>
            </w:tcBorders>
            <w:vAlign w:val="center"/>
          </w:tcPr>
          <w:p w14:paraId="544608F4">
            <w:pPr>
              <w:pStyle w:val="22"/>
              <w:widowControl w:val="0"/>
              <w:jc w:val="right"/>
              <w:rPr>
                <w:rFonts w:hint="eastAsia" w:ascii="仿宋" w:hAnsi="仿宋" w:eastAsia="仿宋" w:cs="仿宋"/>
              </w:rPr>
            </w:pPr>
            <w:r>
              <w:rPr>
                <w:rFonts w:hint="eastAsia" w:ascii="仿宋" w:hAnsi="仿宋" w:eastAsia="仿宋" w:cs="仿宋"/>
              </w:rPr>
              <w:t>1,083.16</w:t>
            </w:r>
          </w:p>
        </w:tc>
        <w:tc>
          <w:tcPr>
            <w:tcW w:w="2057" w:type="dxa"/>
            <w:tcBorders>
              <w:left w:val="single" w:color="000000" w:sz="4" w:space="0"/>
              <w:bottom w:val="single" w:color="000000" w:sz="4" w:space="0"/>
              <w:right w:val="single" w:color="000000" w:sz="4" w:space="0"/>
            </w:tcBorders>
            <w:vAlign w:val="center"/>
          </w:tcPr>
          <w:p w14:paraId="4F5B871A">
            <w:pPr>
              <w:pStyle w:val="22"/>
              <w:widowControl w:val="0"/>
              <w:jc w:val="right"/>
              <w:rPr>
                <w:rFonts w:hint="eastAsia" w:ascii="仿宋" w:hAnsi="仿宋" w:eastAsia="仿宋" w:cs="仿宋"/>
              </w:rPr>
            </w:pPr>
            <w:r>
              <w:rPr>
                <w:rFonts w:hint="eastAsia" w:ascii="仿宋" w:hAnsi="仿宋" w:eastAsia="仿宋" w:cs="仿宋"/>
              </w:rPr>
              <w:t>102.12</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961.48</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961.48</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157.69</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157.69</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351.48</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351.48</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161.74</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161.74</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7.90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7.90</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71.36</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71.36</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35.69</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35.69</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30.54</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30.54</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16.98</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16.98</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1.00</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84.37</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84.37</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42.73</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42.73</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102.12</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102.12</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13.80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13.80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1.50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1.50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5.50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5.50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6.42</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6.42</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0.50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3.96</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3.96</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5.20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5.20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1.73</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1.73</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8.56</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8.56</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21.80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21.80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33.15</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33.15</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121.68</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121.68</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离休费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30.76</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30.76</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57.39</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57.39</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33.53</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33.53</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bl>
    <w:p w14:paraId="69219CD5">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494EE97C">
        <w:tblPrEx>
          <w:tblCellMar>
            <w:top w:w="55" w:type="dxa"/>
            <w:left w:w="55" w:type="dxa"/>
            <w:bottom w:w="55" w:type="dxa"/>
            <w:right w:w="55" w:type="dxa"/>
          </w:tblCellMar>
        </w:tblPrEx>
        <w:trPr>
          <w:trHeight w:val="321" w:hRule="atLeast"/>
        </w:trPr>
        <w:tc>
          <w:tcPr>
            <w:tcW w:w="15216" w:type="dxa"/>
            <w:gridSpan w:val="7"/>
            <w:vAlign w:val="center"/>
          </w:tcPr>
          <w:p w14:paraId="51EC2F5C">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14:paraId="2FDF7549">
        <w:tblPrEx>
          <w:tblCellMar>
            <w:top w:w="55" w:type="dxa"/>
            <w:left w:w="55" w:type="dxa"/>
            <w:bottom w:w="55" w:type="dxa"/>
            <w:right w:w="55" w:type="dxa"/>
          </w:tblCellMar>
        </w:tblPrEx>
        <w:trPr>
          <w:trHeight w:val="321" w:hRule="atLeast"/>
        </w:trPr>
        <w:tc>
          <w:tcPr>
            <w:tcW w:w="15216" w:type="dxa"/>
            <w:gridSpan w:val="7"/>
          </w:tcPr>
          <w:p w14:paraId="72828270">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14:paraId="586FA423">
        <w:tblPrEx>
          <w:tblCellMar>
            <w:top w:w="55" w:type="dxa"/>
            <w:left w:w="55" w:type="dxa"/>
            <w:bottom w:w="55" w:type="dxa"/>
            <w:right w:w="55" w:type="dxa"/>
          </w:tblCellMar>
        </w:tblPrEx>
        <w:trPr>
          <w:trHeight w:val="288" w:hRule="atLeast"/>
        </w:trPr>
        <w:tc>
          <w:tcPr>
            <w:tcW w:w="13566" w:type="dxa"/>
            <w:gridSpan w:val="6"/>
          </w:tcPr>
          <w:p w14:paraId="5561AF88">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南通市体育局</w:t>
            </w:r>
          </w:p>
        </w:tc>
        <w:tc>
          <w:tcPr>
            <w:tcW w:w="1650" w:type="dxa"/>
            <w:vAlign w:val="center"/>
          </w:tcPr>
          <w:p w14:paraId="704B056B">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099C2DA8">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4E3D23C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14:paraId="6BBC9BFE">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14:paraId="4E56B37C">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14:paraId="71663243">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14:paraId="05D3C45D">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14:paraId="31087D9D">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2A2EB686">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14:paraId="7B9A2FE2">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14:paraId="1F65438A">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14:paraId="678B5745">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14:paraId="14B7F204">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14:paraId="3140B1B7">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14:paraId="00D137D4">
            <w:pPr>
              <w:widowControl w:val="0"/>
              <w:jc w:val="left"/>
              <w:rPr>
                <w:rFonts w:hint="eastAsia" w:ascii="仿宋" w:hAnsi="仿宋" w:eastAsia="仿宋" w:cs="仿宋"/>
                <w:sz w:val="22"/>
                <w:szCs w:val="22"/>
              </w:rPr>
            </w:pPr>
          </w:p>
        </w:tc>
      </w:tr>
      <w:tr w14:paraId="2919B456">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4007DAB5">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14:paraId="5E2CD93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1,519.26</w:t>
            </w:r>
          </w:p>
        </w:tc>
        <w:tc>
          <w:tcPr>
            <w:tcW w:w="1693" w:type="dxa"/>
            <w:tcBorders>
              <w:left w:val="single" w:color="000000" w:sz="6" w:space="0"/>
              <w:bottom w:val="single" w:color="000000" w:sz="6" w:space="0"/>
            </w:tcBorders>
          </w:tcPr>
          <w:p w14:paraId="772ED10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1,185.28</w:t>
            </w:r>
          </w:p>
        </w:tc>
        <w:tc>
          <w:tcPr>
            <w:tcW w:w="1987" w:type="dxa"/>
            <w:tcBorders>
              <w:left w:val="single" w:color="000000" w:sz="6" w:space="0"/>
              <w:bottom w:val="single" w:color="000000" w:sz="6" w:space="0"/>
            </w:tcBorders>
          </w:tcPr>
          <w:p w14:paraId="5BD8E28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1,083.16</w:t>
            </w:r>
          </w:p>
        </w:tc>
        <w:tc>
          <w:tcPr>
            <w:tcW w:w="1827" w:type="dxa"/>
            <w:tcBorders>
              <w:left w:val="single" w:color="000000" w:sz="6" w:space="0"/>
              <w:bottom w:val="single" w:color="000000" w:sz="6" w:space="0"/>
            </w:tcBorders>
          </w:tcPr>
          <w:p w14:paraId="2831BE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102.12</w:t>
            </w:r>
          </w:p>
        </w:tc>
        <w:tc>
          <w:tcPr>
            <w:tcW w:w="1650" w:type="dxa"/>
            <w:tcBorders>
              <w:left w:val="single" w:color="000000" w:sz="6" w:space="0"/>
              <w:bottom w:val="single" w:color="000000" w:sz="6" w:space="0"/>
              <w:right w:val="single" w:color="000000" w:sz="6" w:space="0"/>
            </w:tcBorders>
          </w:tcPr>
          <w:p w14:paraId="2A55F17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333.98</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207</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文化旅游体育与传媒支出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1,200.41</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866.43</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764.31</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102.12</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333.98</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20703</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体育</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1,200.41</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866.43</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764.31</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102.12</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333.98</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2070301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866.43</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866.43</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764.31</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102.12</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2070302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22.28</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22.28</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2070306</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体育训练</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38.00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2070307</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体育场馆</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188.70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188.70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2070308</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群众体育</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85.00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318.85</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318.85</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318.85</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318.85</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318.85</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318.85</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84.37</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84.37</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84.37</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234.48</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234.48</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234.48</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14:paraId="5914C3F0">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484721E5">
        <w:tblPrEx>
          <w:tblCellMar>
            <w:top w:w="55" w:type="dxa"/>
            <w:left w:w="55" w:type="dxa"/>
            <w:bottom w:w="55" w:type="dxa"/>
            <w:right w:w="55" w:type="dxa"/>
          </w:tblCellMar>
        </w:tblPrEx>
        <w:trPr>
          <w:trHeight w:val="319" w:hRule="atLeast"/>
        </w:trPr>
        <w:tc>
          <w:tcPr>
            <w:tcW w:w="10954" w:type="dxa"/>
            <w:gridSpan w:val="5"/>
          </w:tcPr>
          <w:p w14:paraId="16647F55">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14:paraId="002F78A7">
        <w:tblPrEx>
          <w:tblCellMar>
            <w:top w:w="55" w:type="dxa"/>
            <w:left w:w="55" w:type="dxa"/>
            <w:bottom w:w="55" w:type="dxa"/>
            <w:right w:w="55" w:type="dxa"/>
          </w:tblCellMar>
        </w:tblPrEx>
        <w:trPr>
          <w:trHeight w:val="189" w:hRule="atLeast"/>
        </w:trPr>
        <w:tc>
          <w:tcPr>
            <w:tcW w:w="10954" w:type="dxa"/>
            <w:gridSpan w:val="5"/>
          </w:tcPr>
          <w:p w14:paraId="2FCCAE70">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14:paraId="7162EBB8">
        <w:tblPrEx>
          <w:tblCellMar>
            <w:top w:w="55" w:type="dxa"/>
            <w:left w:w="55" w:type="dxa"/>
            <w:bottom w:w="55" w:type="dxa"/>
            <w:right w:w="55" w:type="dxa"/>
          </w:tblCellMar>
        </w:tblPrEx>
        <w:trPr>
          <w:trHeight w:val="138" w:hRule="atLeast"/>
        </w:trPr>
        <w:tc>
          <w:tcPr>
            <w:tcW w:w="9281" w:type="dxa"/>
            <w:gridSpan w:val="4"/>
            <w:vAlign w:val="center"/>
          </w:tcPr>
          <w:p w14:paraId="17C5FA13">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南通市体育局</w:t>
            </w:r>
          </w:p>
        </w:tc>
        <w:tc>
          <w:tcPr>
            <w:tcW w:w="1673" w:type="dxa"/>
            <w:vAlign w:val="center"/>
          </w:tcPr>
          <w:p w14:paraId="2960F62D">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31596070">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45445754">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292CB882">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14:paraId="634ABDFF">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059ADFB9">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35A783EC">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11A39AD5">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7319D78B">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38FEFFB9">
            <w:pPr>
              <w:pStyle w:val="22"/>
              <w:widowControl w:val="0"/>
              <w:jc w:val="center"/>
              <w:rPr>
                <w:rFonts w:hint="eastAsia" w:ascii="仿宋" w:hAnsi="仿宋" w:eastAsia="仿宋" w:cs="仿宋"/>
              </w:rPr>
            </w:pPr>
            <w:r>
              <w:rPr>
                <w:rFonts w:hint="eastAsia" w:ascii="仿宋" w:hAnsi="仿宋" w:eastAsia="仿宋" w:cs="仿宋"/>
              </w:rPr>
              <w:t>公用经费</w:t>
            </w:r>
          </w:p>
        </w:tc>
      </w:tr>
      <w:tr w14:paraId="23A107EC">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39BF1B54">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056B7E8D">
            <w:pPr>
              <w:pStyle w:val="22"/>
              <w:widowControl w:val="0"/>
              <w:jc w:val="right"/>
              <w:rPr>
                <w:rFonts w:hint="eastAsia" w:ascii="仿宋" w:hAnsi="仿宋" w:eastAsia="仿宋" w:cs="仿宋"/>
              </w:rPr>
            </w:pPr>
            <w:r>
              <w:rPr>
                <w:rFonts w:hint="eastAsia" w:ascii="仿宋" w:hAnsi="仿宋" w:eastAsia="仿宋" w:cs="仿宋"/>
              </w:rPr>
              <w:t>1,185.28</w:t>
            </w:r>
          </w:p>
        </w:tc>
        <w:tc>
          <w:tcPr>
            <w:tcW w:w="1974" w:type="dxa"/>
            <w:tcBorders>
              <w:left w:val="single" w:color="000000" w:sz="4" w:space="0"/>
              <w:bottom w:val="single" w:color="000000" w:sz="4" w:space="0"/>
            </w:tcBorders>
            <w:vAlign w:val="center"/>
          </w:tcPr>
          <w:p w14:paraId="386099AD">
            <w:pPr>
              <w:pStyle w:val="22"/>
              <w:widowControl w:val="0"/>
              <w:jc w:val="right"/>
              <w:rPr>
                <w:rFonts w:hint="eastAsia" w:ascii="仿宋" w:hAnsi="仿宋" w:eastAsia="仿宋" w:cs="仿宋"/>
              </w:rPr>
            </w:pPr>
            <w:r>
              <w:rPr>
                <w:rFonts w:hint="eastAsia" w:ascii="仿宋" w:hAnsi="仿宋" w:eastAsia="仿宋" w:cs="仿宋"/>
              </w:rPr>
              <w:t>1,083.16</w:t>
            </w:r>
          </w:p>
        </w:tc>
        <w:tc>
          <w:tcPr>
            <w:tcW w:w="1673" w:type="dxa"/>
            <w:tcBorders>
              <w:left w:val="single" w:color="000000" w:sz="4" w:space="0"/>
              <w:bottom w:val="single" w:color="000000" w:sz="4" w:space="0"/>
              <w:right w:val="single" w:color="000000" w:sz="4" w:space="0"/>
            </w:tcBorders>
            <w:vAlign w:val="center"/>
          </w:tcPr>
          <w:p w14:paraId="01C226C0">
            <w:pPr>
              <w:pStyle w:val="22"/>
              <w:widowControl w:val="0"/>
              <w:jc w:val="right"/>
              <w:rPr>
                <w:rFonts w:hint="eastAsia" w:ascii="仿宋" w:hAnsi="仿宋" w:eastAsia="仿宋" w:cs="仿宋"/>
              </w:rPr>
            </w:pPr>
            <w:r>
              <w:rPr>
                <w:rFonts w:hint="eastAsia" w:ascii="仿宋" w:hAnsi="仿宋" w:eastAsia="仿宋" w:cs="仿宋"/>
              </w:rPr>
              <w:t>102.12</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961.48</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961.48</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157.69</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157.69</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351.48</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351.48</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161.74</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161.74</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7.90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7.90</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71.36</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71.36</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35.69</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35.69</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30.54</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30.54</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16.98</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16.98</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1.00</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84.37</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84.37</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42.73</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42.73</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102.12</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102.12</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13.80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13.80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1.50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1.50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5.50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5.50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6.42</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6.42</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0.50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3.96</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3.96</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5.20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5.20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1.73</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1.73</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8.56</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8.56</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21.80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21.80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33.15</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33.15</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121.68</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121.68</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离休费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30.76</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30.76</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57.39</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57.39</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33.53</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33.53</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bl>
    <w:p w14:paraId="5ADFF928">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38FA862D">
        <w:tblPrEx>
          <w:tblCellMar>
            <w:top w:w="55" w:type="dxa"/>
            <w:left w:w="55" w:type="dxa"/>
            <w:bottom w:w="55" w:type="dxa"/>
            <w:right w:w="55" w:type="dxa"/>
          </w:tblCellMar>
        </w:tblPrEx>
        <w:trPr>
          <w:trHeight w:val="321" w:hRule="atLeast"/>
        </w:trPr>
        <w:tc>
          <w:tcPr>
            <w:tcW w:w="15909" w:type="dxa"/>
            <w:gridSpan w:val="8"/>
          </w:tcPr>
          <w:p w14:paraId="11F1E16B">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14:paraId="73844359">
        <w:tblPrEx>
          <w:tblCellMar>
            <w:top w:w="55" w:type="dxa"/>
            <w:left w:w="55" w:type="dxa"/>
            <w:bottom w:w="55" w:type="dxa"/>
            <w:right w:w="55" w:type="dxa"/>
          </w:tblCellMar>
        </w:tblPrEx>
        <w:trPr>
          <w:trHeight w:val="207" w:hRule="atLeast"/>
        </w:trPr>
        <w:tc>
          <w:tcPr>
            <w:tcW w:w="15909" w:type="dxa"/>
            <w:gridSpan w:val="8"/>
          </w:tcPr>
          <w:p w14:paraId="22B22F3F">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2F8DA7EF">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6A83A7CB">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南通市体育局</w:t>
            </w:r>
          </w:p>
        </w:tc>
        <w:tc>
          <w:tcPr>
            <w:tcW w:w="3840" w:type="dxa"/>
            <w:gridSpan w:val="2"/>
            <w:tcBorders>
              <w:bottom w:val="single" w:color="auto" w:sz="4" w:space="0"/>
            </w:tcBorders>
            <w:vAlign w:val="center"/>
          </w:tcPr>
          <w:p w14:paraId="362828F0">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1E8B6C91">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7EF73657">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7191D0ED">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237531A7">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7A1094E9">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197F2909">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414C9174">
            <w:pPr>
              <w:pStyle w:val="22"/>
              <w:widowControl w:val="0"/>
              <w:jc w:val="center"/>
              <w:rPr>
                <w:rFonts w:hint="eastAsia" w:ascii="仿宋" w:hAnsi="仿宋" w:eastAsia="仿宋" w:cs="仿宋"/>
                <w:sz w:val="20"/>
              </w:rPr>
            </w:pPr>
            <w:r>
              <w:rPr>
                <w:rFonts w:hint="eastAsia" w:ascii="仿宋" w:hAnsi="仿宋" w:eastAsia="仿宋" w:cs="仿宋"/>
              </w:rPr>
              <w:t>培训费</w:t>
            </w:r>
          </w:p>
        </w:tc>
      </w:tr>
      <w:tr w14:paraId="0D589B7C">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1BFDF809">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6170C8C2">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2DAB6B6B">
            <w:pPr>
              <w:pStyle w:val="22"/>
              <w:widowControl w:val="0"/>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6D34F0AB">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6F0F2BAC">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48B4809D">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4097DD05">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4A5FCFD1">
            <w:pPr>
              <w:widowControl w:val="0"/>
              <w:jc w:val="left"/>
              <w:rPr>
                <w:rFonts w:hint="eastAsia" w:ascii="仿宋" w:hAnsi="仿宋" w:eastAsia="仿宋" w:cs="仿宋"/>
                <w:sz w:val="2"/>
                <w:szCs w:val="2"/>
              </w:rPr>
            </w:pPr>
          </w:p>
        </w:tc>
      </w:tr>
      <w:tr w14:paraId="1E0DC4E9">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5FAC3463">
            <w:pPr>
              <w:pStyle w:val="22"/>
              <w:widowControl w:val="0"/>
              <w:jc w:val="right"/>
              <w:rPr>
                <w:rFonts w:hint="eastAsia" w:ascii="仿宋" w:hAnsi="仿宋" w:eastAsia="仿宋" w:cs="仿宋"/>
              </w:rPr>
            </w:pPr>
            <w:r>
              <w:rPr>
                <w:rFonts w:hint="eastAsia" w:ascii="仿宋" w:hAnsi="仿宋" w:eastAsia="仿宋" w:cs="仿宋"/>
              </w:rPr>
              <w:t>1.73</w:t>
            </w:r>
          </w:p>
        </w:tc>
        <w:tc>
          <w:tcPr>
            <w:tcW w:w="2332" w:type="dxa"/>
            <w:tcBorders>
              <w:top w:val="single" w:color="auto" w:sz="4" w:space="0"/>
              <w:left w:val="single" w:color="auto" w:sz="4" w:space="0"/>
              <w:bottom w:val="single" w:color="auto" w:sz="4" w:space="0"/>
              <w:right w:val="single" w:color="auto" w:sz="4" w:space="0"/>
            </w:tcBorders>
            <w:vAlign w:val="center"/>
          </w:tcPr>
          <w:p w14:paraId="70149B39">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49C502E0">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14:paraId="10F36C48">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021B69C0">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14:paraId="2A253F9B">
            <w:pPr>
              <w:pStyle w:val="22"/>
              <w:widowControl w:val="0"/>
              <w:jc w:val="right"/>
              <w:rPr>
                <w:rFonts w:hint="eastAsia" w:ascii="仿宋" w:hAnsi="仿宋" w:eastAsia="仿宋" w:cs="仿宋"/>
              </w:rPr>
            </w:pPr>
            <w:r>
              <w:rPr>
                <w:rFonts w:hint="eastAsia" w:ascii="仿宋" w:hAnsi="仿宋" w:eastAsia="仿宋" w:cs="仿宋"/>
              </w:rPr>
              <w:t>1.73</w:t>
            </w:r>
          </w:p>
        </w:tc>
        <w:tc>
          <w:tcPr>
            <w:tcW w:w="2057" w:type="dxa"/>
            <w:tcBorders>
              <w:top w:val="single" w:color="auto" w:sz="4" w:space="0"/>
              <w:left w:val="single" w:color="auto" w:sz="4" w:space="0"/>
              <w:bottom w:val="single" w:color="auto" w:sz="4" w:space="0"/>
              <w:right w:val="single" w:color="auto" w:sz="4" w:space="0"/>
            </w:tcBorders>
            <w:vAlign w:val="center"/>
          </w:tcPr>
          <w:p w14:paraId="209A7A6A">
            <w:pPr>
              <w:pStyle w:val="22"/>
              <w:widowControl w:val="0"/>
              <w:jc w:val="right"/>
              <w:rPr>
                <w:rFonts w:hint="eastAsia" w:ascii="仿宋" w:hAnsi="仿宋" w:eastAsia="仿宋" w:cs="仿宋"/>
              </w:rPr>
            </w:pPr>
            <w:r>
              <w:rPr>
                <w:rFonts w:hint="eastAsia" w:ascii="仿宋" w:hAnsi="仿宋" w:eastAsia="仿宋" w:cs="仿宋"/>
              </w:rPr>
              <w:t>3.96</w:t>
            </w:r>
          </w:p>
        </w:tc>
        <w:tc>
          <w:tcPr>
            <w:tcW w:w="1783" w:type="dxa"/>
            <w:tcBorders>
              <w:top w:val="single" w:color="auto" w:sz="4" w:space="0"/>
              <w:left w:val="single" w:color="auto" w:sz="4" w:space="0"/>
              <w:bottom w:val="single" w:color="auto" w:sz="4" w:space="0"/>
              <w:right w:val="single" w:color="auto" w:sz="4" w:space="0"/>
            </w:tcBorders>
            <w:vAlign w:val="center"/>
          </w:tcPr>
          <w:p w14:paraId="0455D567">
            <w:pPr>
              <w:pStyle w:val="22"/>
              <w:widowControl w:val="0"/>
              <w:jc w:val="right"/>
              <w:rPr>
                <w:rFonts w:hint="eastAsia" w:ascii="仿宋" w:hAnsi="仿宋" w:eastAsia="仿宋" w:cs="仿宋"/>
              </w:rPr>
            </w:pPr>
            <w:r>
              <w:rPr>
                <w:rFonts w:hint="eastAsia" w:ascii="仿宋" w:hAnsi="仿宋" w:eastAsia="仿宋" w:cs="仿宋"/>
              </w:rPr>
              <w:t>5.20</w:t>
            </w:r>
          </w:p>
        </w:tc>
      </w:tr>
    </w:tbl>
    <w:p w14:paraId="633D90CA">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62805DB4">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5636E86">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14:paraId="6EED4EA3">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C7C957B">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14:paraId="51688803">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7A598C4F">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南通市体育局</w:t>
            </w:r>
          </w:p>
        </w:tc>
        <w:tc>
          <w:tcPr>
            <w:tcW w:w="2485" w:type="dxa"/>
            <w:tcBorders>
              <w:top w:val="nil"/>
              <w:left w:val="nil"/>
              <w:bottom w:val="single" w:color="auto" w:sz="4" w:space="0"/>
              <w:right w:val="nil"/>
            </w:tcBorders>
            <w:vAlign w:val="center"/>
          </w:tcPr>
          <w:p w14:paraId="3147BBD4">
            <w:pPr>
              <w:pStyle w:val="22"/>
              <w:widowControl w:val="0"/>
              <w:jc w:val="right"/>
              <w:rPr>
                <w:rFonts w:hint="eastAsia" w:ascii="仿宋" w:hAnsi="仿宋" w:eastAsia="仿宋" w:cs="仿宋"/>
              </w:rPr>
            </w:pPr>
            <w:r>
              <w:rPr>
                <w:rFonts w:hint="eastAsia" w:ascii="仿宋" w:hAnsi="仿宋" w:eastAsia="仿宋" w:cs="仿宋"/>
              </w:rPr>
              <w:t>单位：万元</w:t>
            </w:r>
          </w:p>
        </w:tc>
      </w:tr>
      <w:tr w14:paraId="36644733">
        <w:trPr>
          <w:trHeight w:val="187" w:hRule="atLeast"/>
        </w:trPr>
        <w:tc>
          <w:tcPr>
            <w:tcW w:w="1618" w:type="dxa"/>
            <w:vMerge w:val="restart"/>
            <w:tcBorders>
              <w:top w:val="single" w:color="auto" w:sz="4" w:space="0"/>
              <w:left w:val="single" w:color="auto" w:sz="4" w:space="0"/>
              <w:right w:val="single" w:color="auto" w:sz="4" w:space="0"/>
            </w:tcBorders>
            <w:vAlign w:val="center"/>
          </w:tcPr>
          <w:p w14:paraId="139A3874">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699CEF7D">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696DDF51">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14:paraId="2A031337">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0291B8E1">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40D2FDA2">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7625D4FC">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509FCBF0">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7EAB88D3">
            <w:pPr>
              <w:pStyle w:val="22"/>
              <w:widowControl w:val="0"/>
              <w:jc w:val="center"/>
              <w:rPr>
                <w:rFonts w:hint="eastAsia" w:ascii="仿宋" w:hAnsi="仿宋" w:eastAsia="仿宋" w:cs="仿宋"/>
              </w:rPr>
            </w:pPr>
            <w:r>
              <w:rPr>
                <w:rFonts w:hint="eastAsia" w:ascii="仿宋" w:hAnsi="仿宋" w:eastAsia="仿宋" w:cs="仿宋"/>
              </w:rPr>
              <w:t>项目支出</w:t>
            </w:r>
          </w:p>
        </w:tc>
      </w:tr>
      <w:tr w14:paraId="5A7DB80A">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14C9CFFF">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14:paraId="215C3078">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430CBA39">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14:paraId="2E533D5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14:paraId="755F292C">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14:paraId="6E6DB1B1">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u/>
        </w:rPr>
        <w:t>本</w:t>
      </w:r>
      <w:r>
        <w:rPr>
          <w:b w:val="on"/>
          <w:rFonts w:ascii="仿宋" w:eastAsia="仿宋" w:hAnsi="仿宋" w:cs="仿宋"/>
          <w:sz w:val="22"/>
          <w:u w:color="auto"/>
        </w:rPr>
        <w:t>单位</w:t>
      </w:r>
      <w:r>
        <w:rPr>
          <w:b w:val="on"/>
          <w:rFonts w:ascii="仿宋" w:eastAsia="仿宋" w:hAnsi="仿宋" w:cs="仿宋"/>
          <w:sz w:val="22"/>
          <w:u w:color="auto"/>
        </w:rPr>
        <w:t>无政府性基金预算，也没有使用政府性基金安排的支出，故本表无数据。</w:t>
      </w:r>
      <w:r>
        <w:rPr>
          <w:b w:val="on"/>
          <w:rFonts w:ascii="仿宋" w:eastAsia="仿宋" w:hAnsi="仿宋" w:cs="仿宋"/>
          <w:sz w:val="22"/>
          <w:u w:color="auto"/>
        </w:rPr>
        <w:t/>
      </w:r>
    </w:p>
    <w:p w14:paraId="6A70A19F">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4774AA8D">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3156F4BF">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14:paraId="4EF98964">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0D2A9578">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14:paraId="1AADF766">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062AC01C">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南通市体育局</w:t>
            </w:r>
          </w:p>
        </w:tc>
        <w:tc>
          <w:tcPr>
            <w:tcW w:w="3091" w:type="dxa"/>
            <w:tcBorders>
              <w:top w:val="nil"/>
              <w:left w:val="nil"/>
              <w:bottom w:val="nil"/>
              <w:right w:val="nil"/>
            </w:tcBorders>
            <w:shd w:val="clear" w:color="auto" w:fill="auto"/>
            <w:noWrap/>
            <w:vAlign w:val="center"/>
          </w:tcPr>
          <w:p w14:paraId="4B5E2371">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14:paraId="2404FBD4">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A26E2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671D8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8BADF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5C96E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14:paraId="432E2794">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4441FA9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14:paraId="610A31B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14:paraId="0C0CD14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6658BEEA">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503CA6E1">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00D98D52">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14:paraId="1138F447">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42B31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4F0764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9518AF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C53BBA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14:paraId="23E635B9">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A080F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811437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3DCC2D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54D26D6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14:paraId="7AA8870D">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u/>
        </w:rPr>
        <w:t/>
      </w:r>
      <w:r>
        <w:rPr>
          <w:b w:val="on"/>
          <w:rFonts w:ascii="仿宋" w:eastAsia="仿宋" w:hAnsi="仿宋" w:cs="仿宋"/>
          <w:sz w:val="22"/>
          <w:u w:color="auto"/>
        </w:rPr>
        <w:t>注：本</w:t>
      </w:r>
      <w:r>
        <w:rPr>
          <w:b w:val="on"/>
          <w:rFonts w:ascii="仿宋" w:eastAsia="仿宋" w:hAnsi="仿宋" w:cs="仿宋"/>
          <w:sz w:val="22"/>
          <w:u w:color="auto"/>
        </w:rPr>
        <w:t>单位</w:t>
      </w:r>
      <w:r>
        <w:rPr>
          <w:b w:val="on"/>
          <w:rFonts w:ascii="仿宋" w:eastAsia="仿宋" w:hAnsi="仿宋" w:cs="仿宋"/>
          <w:sz w:val="22"/>
          <w:u w:color="auto"/>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u/>
        </w:rPr>
        <w:t>，故本表无数据。</w:t>
      </w:r>
      <w:r>
        <w:rPr>
          <w:b w:val="on"/>
          <w:rFonts w:ascii="仿宋" w:eastAsia="仿宋" w:hAnsi="仿宋" w:cs="仿宋"/>
          <w:sz w:val="22"/>
          <w:u w:color="auto"/>
        </w:rPr>
        <w:t/>
      </w:r>
    </w:p>
    <w:p w14:paraId="4F525B1A">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081ECABF">
        <w:tblPrEx>
          <w:tblCellMar>
            <w:top w:w="55" w:type="dxa"/>
            <w:left w:w="55" w:type="dxa"/>
            <w:bottom w:w="55" w:type="dxa"/>
            <w:right w:w="55" w:type="dxa"/>
          </w:tblCellMar>
        </w:tblPrEx>
        <w:trPr>
          <w:trHeight w:val="319" w:hRule="atLeast"/>
        </w:trPr>
        <w:tc>
          <w:tcPr>
            <w:tcW w:w="10235" w:type="dxa"/>
            <w:gridSpan w:val="4"/>
          </w:tcPr>
          <w:p w14:paraId="3FDF9E28">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14:paraId="291E3CF1">
        <w:tblPrEx>
          <w:tblCellMar>
            <w:top w:w="55" w:type="dxa"/>
            <w:left w:w="55" w:type="dxa"/>
            <w:bottom w:w="55" w:type="dxa"/>
            <w:right w:w="55" w:type="dxa"/>
          </w:tblCellMar>
        </w:tblPrEx>
        <w:trPr>
          <w:trHeight w:val="90" w:hRule="atLeast"/>
        </w:trPr>
        <w:tc>
          <w:tcPr>
            <w:tcW w:w="10235" w:type="dxa"/>
            <w:gridSpan w:val="4"/>
          </w:tcPr>
          <w:p w14:paraId="231D1385">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14:paraId="04B652B4">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35496929">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南通市体育局</w:t>
            </w:r>
          </w:p>
        </w:tc>
        <w:tc>
          <w:tcPr>
            <w:tcW w:w="2351" w:type="dxa"/>
            <w:tcBorders>
              <w:bottom w:val="single" w:color="auto" w:sz="4" w:space="0"/>
            </w:tcBorders>
            <w:vAlign w:val="center"/>
          </w:tcPr>
          <w:p w14:paraId="14A254D4">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11FC7058">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0F6FED5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14:paraId="0F83CC29">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6EFE394A">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14:paraId="68F893FF">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14:paraId="06E7A0CE">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DF58F8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102.12</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102.12</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30202</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印刷费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30207</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邮电费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30211</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6.42</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30213</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维修（护）费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0.50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30215</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会议费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3.96</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30216</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1.73</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8.56</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21.80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33.15</w:t>
            </w:r>
          </w:p>
        </w:tc>
      </w:tr>
    </w:tbl>
    <w:p w14:paraId="28F6C040">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219881AC">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14:paraId="17AE5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25ABA2C5">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14:paraId="76100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7C23C5B6">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14:paraId="2D4D3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2DB53ADF">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南通市体育局</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535DB9A2">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13948C0E">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14:paraId="10946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4FC7E2">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F93C99">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19AB60">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63A4CB">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822C97">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9C219A">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1AEF8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14:paraId="6D92C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91EE03">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12B648">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2F3862">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B5BF50">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3A18FB">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F113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BF9C2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76F5A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0F303E">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F2CFD1">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14:paraId="0AAAF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CFE2A4">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E522CA">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85776D">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59CECE">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86FA57">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DC751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0.50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0F214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2F43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5450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1AB64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0.50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0.50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0.50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xml:space="preserve">  南通市体育局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0.50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0.50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公用经费（限额）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复印纸</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0.50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0.50</w:t>
            </w:r>
          </w:p>
        </w:tc>
      </w:tr>
    </w:tbl>
    <w:p w14:paraId="51FF3C07">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3ED135E2">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u/>
        </w:rPr>
        <w:t>年度</w:t>
      </w:r>
      <w:r>
        <w:rPr>
          <w:b w:val="on"/>
          <w:rFonts w:ascii="仿宋" w:eastAsia="仿宋" w:hAnsi="仿宋" w:cs="仿宋"/>
          <w:sz w:val="44"/>
          <w:u w:color="auto"/>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14:paraId="1540B49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一、收支预算总体情况说明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南通市体育局2026年度收入、支出预算总计1,519.26万元，与上年相比收、支预算总计各增加67.77万元，增长4.67%。其中：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（一）收入预算总计1,519.26万元。包括：</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1．本年收入合计1,519.26万元。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（1）一般公共预算拨款收入1,519.26万元，与上年相比增加67.77万元，增长4.67%。主要原因是新调入一人，人员经费对应增加。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（2）政府性基金预算拨款收入0万元，与上年预算数相同。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（3）国有资本经营预算拨款收入0万元，与上年预算数相同。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（4）财政专户管理资金收入0万元，与上年预算数相同。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（5）事业收入0万元，与上年预算数相同。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（6）事业单位经营收入0万元，与上年预算数相同。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（7）上级补助收入0万元，与上年预算数相同。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（8）附属单位上缴收入0万元，与上年预算数相同。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（9）其他收入0万元，与上年预算数相同。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2．上年结转结余为0万元。与上年预算数相同。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（二）支出预算总计1,519.26万元。包括：</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1．本年支出合计1,519.26万元。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（1）文化旅游体育与传媒支出（类）支出1,200.41万元，主要用于机关日常运转的人员支出和公用支出。与上年相比增加54.71万元，增长4.78%。主要原因是新调入一人，人员经费对应增加。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（2）住房保障支出（类）支出318.85万元，主要用于住房公积金与提租补贴。与上年相比增加13.06万元，增长4.27%。主要原因是新调入一人，人员经费对应增加。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2．年终结转结余为0万元。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二、收入预算情况说明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南通市体育局2026年收入预算合计1,519.26万元，包括本年收入1,519.26万元，上年结转结余0万元。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本年一般公共预算收入1,519.26万元，占100%；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本年政府性基金预算收入0万元，占0%；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本年国有资本经营预算收入0万元，占0%；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本年财政专户管理资金0万元，占0%；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本年事业收入0万元，占0%；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本年事业单位经营收入0万元，占0%；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本年上级补助收入0万元，占0%；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本年附属单位上缴收入0万元，占0%；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本年其他收入0万元，占0%；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上年结转结余的一般公共预算收入0万元，占0%；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上年结转结余的政府性基金预算收入0万元，占0%；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上年结转结余的国有资本经营预算收入0万元，占0%；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上年结转结余的财政专户管理资金0万元，占0%；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上年结转结余的单位资金0万元，占0%。</w:t>
      </w:r>
      <w:r>
        <w:rPr>
          <w:rFonts w:ascii="仿宋" w:eastAsia="仿宋" w:hAnsi="仿宋" w:cs="仿宋"/>
          <w:u w:color="auto"/>
        </w:rPr>
        <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三、支出预算情况说明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南通市体育局2026年支出预算合计1,519.26万元，其中：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基本支出1,185.28万元，占78.02%；</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项目支出333.98万元，占21.98%；</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事业单位经营支出0万元，占0%；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上缴上级支出0万元，占0%；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对附属单位补助支出0万元，占0%。</w:t>
      </w:r>
      <w:r>
        <w:rPr>
          <w:rFonts w:ascii="仿宋" w:eastAsia="仿宋" w:hAnsi="仿宋" w:cs="仿宋"/>
          <w:u w:color="auto"/>
        </w:rPr>
        <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四、财政拨款收支预算总体情况说明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南通市体育局2026年度财政拨款收、支总预算1,519.26万元。与上年相比，财政拨款收、支总计各增加67.77万元，增长4.67%。主要原因是新调入一人，人员经费对应增加。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五、财政拨款支出预算情况说明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南通市体育局2026年财政拨款预算支出1,519.26万元，占本年支出合计的100%。与上年相比，财政拨款支出增加67.77万元，增长4.67%。主要原因是新调入一人，人员经费对应增加。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（一）文化旅游体育与传媒支出（类）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1.体育（款）行政运行（项）支出866.43万元，与上年相比增加56.48万元，增长6.97%。主要原因是新调入一人，人员经费对应增加。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2.体育（款）一般行政管理事务（项）支出22.28万元，与上年相比增加10.53万元，增长89.62%。主要原因是安全生产工作费用列入预算。</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3.体育（款）体育训练（项）支出38万元，与上年相比减少2万元，减少5%。主要原因是根据财政部门统一要求，压减项目经费。</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4.体育（款）体育场馆（项）支出188.7万元，与上年相比增加14.7万元，增长8.45%。主要原因是体育馆人员社保预算2026年度按核定金额足额安排。</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5.体育（款）群众体育（项）支出85万元，与上年相比减少25万元，减少22.73%。主要原因是根据财政部门统一要求，压减项目经费。</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（二）住房保障支出（类）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1.住房改革支出（款）住房公积金（项）支出84.37万元，与上年相比增加1.68万元，增长2.03%。主要原因是新调入一人，人员经费对应增加。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2.住房改革支出（款）提租补贴（项）支出234.48万元，与上年相比增加11.38万元，增长5.1%。主要原因是新调入一人，人员经费对应增加。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六、财政拨款基本支出预算情况说明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南通市体育局2026年度财政拨款基本支出预算1,185.28万元，其中：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人员经费1,083.16万元。主要包括：基本工资、津贴补贴、奖金、绩效工资、机关事业单位基本养老保险缴费、职业年金缴费、职工基本医疗保险缴费、公务员医疗补助缴费、其他社会保障缴费、住房公积金、其他工资福利支出、离休费、退休费、其他对个人和家庭的补助。</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（二）公用经费102.12万元。主要包括：办公费、印刷费、邮电费、差旅费、维修（护）费、会议费、培训费、公务接待费、工会经费、其他交通费用、其他商品和服务支出。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七、一般公共预算支出预算情况说明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南通市体育局2026年一般公共预算财政拨款支出预算1,519.26万元，与上年相比增加67.77万元，增长4.67%。主要原因是新调入一人，人员经费对应增加。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八、一般公共预算基本支出预算情况说明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南通市体育局2026年度一般公共预算财政拨款基本支出预算1,185.28万元，其中：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人员经费1,083.16万元。主要包括：基本工资、津贴补贴、奖金、绩效工资、机关事业单位基本养老保险缴费、职业年金缴费、职工基本医疗保险缴费、公务员医疗补助缴费、其他社会保障缴费、住房公积金、其他工资福利支出、离休费、退休费、其他对个人和家庭的补助。</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（二）公用经费102.12万元。主要包括：办公费、印刷费、邮电费、差旅费、维修（护）费、会议费、培训费、公务接待费、工会经费、其他交通费用、其他商品和服务支出。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九、一般公共预算“三公”经费、会议费、培训费支出预算情况说明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通市体育局2026年度一般公共预算拨款安排的“三公”经费支出预算1.73万元，与上年预算数相同。其中，因公出国（境）费支出0万元，占“三公”经费的0%；公务用车购置及运行维护费支出0万元，占“三公”经费的0%；公务接待费支出1.73万元，占“三公”经费的100%。具体情况如下：</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1．因公出国（境）费预算支出0万元，与上年预算数相同。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2．公务用车购置及运行维护费预算支出0万元。其中：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（1）公务用车购置预算支出0万元，与上年预算数相同。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（2）公务用车运行维护费预算支出0万元，与上年预算数相同。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3．公务接待费预算支出1.73万元，与上年预算数相同。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南通市体育局2026年度一般公共预算拨款安排的会议费预算支出3.96万元，与上年预算数相同。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南通市体育局2026年度一般公共预算拨款安排的培训费预算支出5.2万元，与上年预算数相同。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十、政府性基金预算支出预算情况说明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南通市体育局2026年政府性基金支出预算支出0万元。与上年预算数相同。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十一、国有资本经营预算支出预算情况说明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南通市体育局2026年国有资本经营预算支出0万元。与上年预算数相同。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十二、一般公共预算机关运行经费支出预算情况说明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2026年本单位一般公共预算机关运行经费预算支出102.12万元，与上年相比减少0.58万元，减少0.56%。主要原因是根据要求压减公用经费。</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十三、政府采购支出预算情况说明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2026年度政府采购支出预算总额0.5万元，其中：拟采购货物支出0.5万元、拟采购工程支出0万元、拟采购服务支出0万元。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十四、国有资产占用情况说明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单位共有车辆0辆，其中，副部（省）级及以上领导用车0辆、主要负责人用车0辆、机要通信用车0辆、应急保障用车0辆、执法执勤用车0辆、特种专业技术用车0辆、离退休干部用车0辆，其他用车0辆；单价100万元（含）以上的设备0台（套）。</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十五、预算绩效目标设置情况说明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度，本单位整体支出纳入绩效目标管理，涉及财政性资金1,519.26万元；本单位共8个项目纳入绩效目标管理，涉及财政性资金合计333.98万元，占财政性资金(人员类和运转类中的公用经费项目支出除外)总额的比例为100%。</w:t>
      </w:r>
      <w:r>
        <w:rPr>
          <w:rFonts w:ascii="仿宋" w:eastAsia="仿宋" w:hAnsi="仿宋" w:cs="仿宋"/>
          <w:u w:color="auto"/>
        </w:rPr>
        <w:t/>
      </w:r>
    </w:p>
    <w:p w14:paraId="60A71CD5">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14:paraId="63293F33">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一、财政拨款</w:t>
      </w:r>
      <w:r>
        <w:rPr>
          <w:b w:val="on"/>
          <w:rFonts w:ascii="仿宋" w:eastAsia="仿宋" w:hAnsi="仿宋" w:cs="仿宋"/>
          <w:u w:color="auto"/>
        </w:rPr>
        <w:t>：</w:t>
      </w:r>
      <w:r>
        <w:rPr>
          <w:rFonts w:hint="eastAsia" w:ascii="仿宋" w:hAnsi="仿宋" w:eastAsia="仿宋" w:cs="仿宋"/>
        </w:rPr>
        <w:t>单位从同级财政部门取得的各类财政拨款，包括一般公共预算拨款、政府性基金预算拨款、国有资本经营预算拨款。</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二、财政专户管理资金</w:t>
      </w:r>
      <w:r>
        <w:rPr>
          <w:b w:val="on"/>
          <w:rFonts w:ascii="仿宋" w:eastAsia="仿宋" w:hAnsi="仿宋" w:cs="仿宋"/>
          <w:u w:color="auto"/>
        </w:rPr>
        <w:t>：</w:t>
      </w:r>
      <w:r>
        <w:rPr>
          <w:rFonts w:hint="eastAsia" w:ascii="仿宋" w:hAnsi="仿宋" w:eastAsia="仿宋" w:cs="仿宋"/>
        </w:rPr>
        <w:t>缴入财政专户、实行专项管理的高中以上学费、住宿费、高校委托培养费、函大、电大、夜大及短训班培训费等教育收费。</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三、单位资金</w:t>
      </w:r>
      <w:r>
        <w:rPr>
          <w:b w:val="on"/>
          <w:rFonts w:ascii="仿宋" w:eastAsia="仿宋" w:hAnsi="仿宋" w:cs="仿宋"/>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四、基本支出</w:t>
      </w:r>
      <w:r>
        <w:rPr>
          <w:b w:val="on"/>
          <w:rFonts w:ascii="仿宋" w:eastAsia="仿宋" w:hAnsi="仿宋" w:cs="仿宋"/>
          <w:u w:color="auto"/>
        </w:rPr>
        <w:t>：</w:t>
      </w:r>
      <w:r>
        <w:rPr>
          <w:rFonts w:hint="eastAsia" w:ascii="仿宋" w:hAnsi="仿宋" w:eastAsia="仿宋" w:cs="仿宋"/>
        </w:rPr>
        <w:t>指为保障机构正常运转、完成工作任务而发生的人员支出和公用支出。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五、项目支出</w:t>
      </w:r>
      <w:r>
        <w:rPr>
          <w:b w:val="on"/>
          <w:rFonts w:ascii="仿宋" w:eastAsia="仿宋" w:hAnsi="仿宋" w:cs="仿宋"/>
          <w:u w:color="auto"/>
        </w:rPr>
        <w:t>：</w:t>
      </w:r>
      <w:r>
        <w:rPr>
          <w:rFonts w:hint="eastAsia" w:ascii="仿宋" w:hAnsi="仿宋" w:eastAsia="仿宋" w:cs="仿宋"/>
        </w:rPr>
        <w:t>指在基本支出之外为完成特定工作任务和事业发展目标所发生的支出。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六、“三公”经费</w:t>
      </w:r>
      <w:r>
        <w:rPr>
          <w:b w:val="on"/>
          <w:rFonts w:ascii="仿宋" w:eastAsia="仿宋" w:hAnsi="仿宋" w:cs="仿宋"/>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七、机关运行经费</w:t>
      </w:r>
      <w:r>
        <w:rPr>
          <w:b w:val="on"/>
          <w:rFonts w:ascii="仿宋" w:eastAsia="仿宋" w:hAnsi="仿宋" w:cs="仿宋"/>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八、文化旅游体育与传媒支出(类)体育(款)行政运行(项)</w:t>
      </w:r>
      <w:r>
        <w:rPr>
          <w:b w:val="on"/>
          <w:rFonts w:ascii="仿宋" w:eastAsia="仿宋" w:hAnsi="仿宋" w:cs="仿宋"/>
          <w:u w:color="auto"/>
        </w:rPr>
        <w:t>：</w:t>
      </w:r>
      <w:r>
        <w:rPr>
          <w:rFonts w:hint="eastAsia" w:ascii="仿宋" w:hAnsi="仿宋" w:eastAsia="仿宋" w:cs="仿宋"/>
        </w:rPr>
        <w:t>反映行政单位（包括实行公务员管理的事业单位）的基本支出。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九、文化旅游体育与传媒支出(类)体育(款)一般行政管理事务(项)</w:t>
      </w:r>
      <w:r>
        <w:rPr>
          <w:b w:val="on"/>
          <w:rFonts w:ascii="仿宋" w:eastAsia="仿宋" w:hAnsi="仿宋" w:cs="仿宋"/>
          <w:u w:color="auto"/>
        </w:rPr>
        <w:t>：</w:t>
      </w:r>
      <w:r>
        <w:rPr>
          <w:rFonts w:hint="eastAsia" w:ascii="仿宋" w:hAnsi="仿宋" w:eastAsia="仿宋" w:cs="仿宋"/>
        </w:rPr>
        <w:t>反映行政单位（包括实行公务员管理的事业单位）未单独设置项级科目的其他项目支出。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十、文化旅游体育与传媒支出(类)体育(款)体育训练(项)</w:t>
      </w:r>
      <w:r>
        <w:rPr>
          <w:b w:val="on"/>
          <w:rFonts w:ascii="仿宋" w:eastAsia="仿宋" w:hAnsi="仿宋" w:cs="仿宋"/>
          <w:u w:color="auto"/>
        </w:rPr>
        <w:t>：</w:t>
      </w:r>
      <w:r>
        <w:rPr>
          <w:rFonts w:hint="eastAsia" w:ascii="仿宋" w:hAnsi="仿宋" w:eastAsia="仿宋" w:cs="仿宋"/>
        </w:rPr>
        <w:t>反映各级体育运动队训练补助及器材购置等方面的支出。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十一、文化旅游体育与传媒支出(类)体育(款)体育场馆(项)</w:t>
      </w:r>
      <w:r>
        <w:rPr>
          <w:b w:val="on"/>
          <w:rFonts w:ascii="仿宋" w:eastAsia="仿宋" w:hAnsi="仿宋" w:cs="仿宋"/>
          <w:u w:color="auto"/>
        </w:rPr>
        <w:t>：</w:t>
      </w:r>
      <w:r>
        <w:rPr>
          <w:rFonts w:hint="eastAsia" w:ascii="仿宋" w:hAnsi="仿宋" w:eastAsia="仿宋" w:cs="仿宋"/>
        </w:rPr>
        <w:t>反映体育场馆建设及维护等方面的支出。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十二、文化旅游体育与传媒支出(类)体育(款)群众体育(项)</w:t>
      </w:r>
      <w:r>
        <w:rPr>
          <w:b w:val="on"/>
          <w:rFonts w:ascii="仿宋" w:eastAsia="仿宋" w:hAnsi="仿宋" w:cs="仿宋"/>
          <w:u w:color="auto"/>
        </w:rPr>
        <w:t>：</w:t>
      </w:r>
      <w:r>
        <w:rPr>
          <w:rFonts w:hint="eastAsia" w:ascii="仿宋" w:hAnsi="仿宋" w:eastAsia="仿宋" w:cs="仿宋"/>
        </w:rPr>
        <w:t>反映业余体校和全民健身等群众体育活动方面的支出。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十三、住房保障支出(类)住房改革支出(款)住房公积金(项)</w:t>
      </w:r>
      <w:r>
        <w:rPr>
          <w:b w:val="on"/>
          <w:rFonts w:ascii="仿宋" w:eastAsia="仿宋" w:hAnsi="仿宋" w:cs="仿宋"/>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十四、住房保障支出(类)住房改革支出(款)提租补贴(项)</w:t>
      </w:r>
      <w:r>
        <w:rPr>
          <w:b w:val="on"/>
          <w:rFonts w:ascii="仿宋" w:eastAsia="仿宋" w:hAnsi="仿宋" w:cs="仿宋"/>
          <w:u w:color="auto"/>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roman"/>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9D44A">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7B329B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124A0">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14E81E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1B55A">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108D36C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881FA">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14:paraId="1E3E9A2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3E973">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14:paraId="5279EB4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FF68D">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14:paraId="7BD642A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00F64">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14:paraId="405305FE">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55044">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674D88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DB4F1">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43F9E01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06B37">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497373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B7DF2">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7387FC5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C2DD7">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1EE1AB0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43712">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7C57DB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4045">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1B45321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38EE">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1155049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D1B7F">
    <w:pPr>
      <w:pStyle w:val="10"/>
      <w:pBdr>
        <w:bottom w:val="single" w:color="000000" w:sz="4" w:space="1"/>
      </w:pBdr>
      <w:jc w:val="both"/>
      <w:rPr>
        <w:rFonts w:hint="default" w:eastAsia="Arial Unicode MS"/>
        <w:lang w:val="en-US" w:eastAsia="zh-CN"/>
      </w:rPr>
    </w:pPr>
    <w:r>
      <w:rPr>
        <w:rFonts w:hint="eastAsia"/>
        <w:lang w:val="en-US" w:eastAsia="zh-CN"/>
        <w:u/>
      </w:rPr>
      <w:t>南通市体育局</w:t>
    </w:r>
    <w:r>
      <w:rPr>
        <w:u w:color="auto"/>
      </w:rPr>
      <w:t>2026</w:t>
    </w:r>
    <w:r>
      <w:rPr>
        <w:u w:color="auto"/>
      </w:rPr>
      <w:t>年度</w:t>
    </w:r>
    <w:r>
      <w:rPr>
        <w:u w:color="auto"/>
      </w:rPr>
      <w:t>单位</w:t>
    </w:r>
    <w:r>
      <w:rPr>
        <w:u w:color="auto"/>
      </w:rP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1B3BA">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1911</Words>
  <Characters>6537</Characters>
  <Paragraphs>501</Paragraphs>
  <TotalTime>0</TotalTime>
  <ScaleCrop>false</ScaleCrop>
  <LinksUpToDate>false</LinksUpToDate>
  <CharactersWithSpaces>6554</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细雨</cp:lastModifiedBy>
  <dcterms:modified xsi:type="dcterms:W3CDTF">2025-05-21T07:38:56Z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2052-12.1.0.21171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