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2022年度南通市体育局单位决算公开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（1）贯彻执行党和国家体育工作的方针政策和各项法律法规，起草体育工作的地方性法规、规章草案，拟订相关政策并督促实施。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（2）推动多元化体育服务体系建设，推进体育公共服务和体育体制改革。研究全市体育工作的发展战略和发展目标。编制全市体育事业中长期发展规划和年度计划，并对执行情况进行监督检查。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（4）统筹规划全市业余训练项目设置与布局。负责全市业余训练工作的开展和优秀体育后备人才培养输送工作。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（5）统筹规划全市青少年体育发展，指导和推进青少年体育工作。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（6）组织参加和承办重大体育比赛。编制并组织实施全市体育竞赛计划，指导、协调、监督全市体育竞赛工作。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（7）拟订全市体育产业发展规划、政策，规范体育服务管理，推动体育服务标准化建设。负责全市体育彩票发行管理。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（8）负责组织开展全市体育工作的对外交流与合作。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（9）组织开展体育科学研究和体育宣传工作。组织开展体育运动中反兴奋剂工作。发展体育教育，制定并实施体育培训规划。</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（10）负责市级体育社会团体的资格审查和业务指导工作。领导市体育总会，指导单项体育协会开展各项活动。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（11）完成市委、市政府交办的其他任务。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本单位内设机构包括办公室（安全生产监管处）、群众体育处（行政服务处）、竞技体育处、体育经济处（行政执法处）。本单位下属单位包括：南通市体育馆、南通市体育科学研究所。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公共体育服务能力进一步提升。高标准实施民生实事项目。全市筹集资金超1亿元，用于全民健身中心、体育公园、健身步道建设和低免场馆开放补助等。新增健身设施3380件，提升改造南通植物园、城市绿谷等8个公园，建设健身步道54.7公里。全市人均体育场地面积达到3.85平方米，海门区体育场地建设完成情况在全市领先。高水平开展全民健身活动。全市举办承办“全民健身日”“南通体育日”“体育嘉年华”等各类赛事活动400余场，承办国家级赛事10场、省级赛事15场。500多家体育协会、俱乐部举办各类活动及赛事1000多场。南通获评全国象棋业余棋王赛江苏“最佳赛区”，央视新闻对海安舞龙舞狮新春活动进行报道。高质量服务人民群众健康。大力开展科学健身指导和国民体质监测活动，录播科学健身指导电视节目12期、举办科学健身讲座和沙龙20期、发布科普健身指导文章280余篇，免费为3万余人进行体质监测。全市国民体质测试合格率达93.1%，经常参加体育锻炼人数比例达40.3%。全市各类体育协会、俱乐部组织二十多万人次参与疫情防控，获得社会一致好评。市老年体协最美“夕阳红”志愿服务项目获评市“最佳老干部志愿服务项目”，《人民日报》报道了我市木兰运动协会公益健身服务成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业余训练综合实力进一步提升。全力服务保障优秀人才。加强与国家体育总局和省体育局对接协调，切实做好优秀后备人才服务保障工作。本届省运会周期，孙炜、石宇奇、丁倚亮、杨鼎新等4人问鼎世界冠军。去年，孙炜再夺世锦赛冠军，张馨与队友勇夺女足亚洲杯冠军，吴梦洁、周页彤荣膺亚洲杯女排赛“最佳主攻”“最佳接应”，沙排运动员严旭和周明俐、跳水小将王苗苗等多位优秀后备人才在全国大赛中夺得金牌。市儿体校成功申报国家重点高水平后备人才培养基地，市运动学校和如东少体校成功申报国家高水平后备人才培养基地。全力备战参战第二十届省运会。组织1200多名运动员参赛，本届省运会我市代表团共获227枚奖牌，其中金牌80枚。包揽参赛成绩奖、周期输送奖等7个全部奖项，网球、射箭等8个单项成绩排名全省前三。全力开展“双建”助力“双减”。在全省率先开展“一校一品、一生多能”项目建设，共布局足球、篮球、武术等22个项目。聘请专职教练对41所学校57000多名学生开展武术培训。崇川区、开发区、苏锡通园区、通州湾示范区对45所小学的篮球、足球、排球等体育器材予以补助，惠及15万名学生。国家体育总局《体育工作情况》刊文推广，新华日报等媒体专题报道。全力深化足球改革。推进足球青训和校园足球融合发展，组建青少年足球精英梯队11支。去年，我市青少年足球获“省运会”“省长杯”冠军3个、亚军4个。南通支云足球俱乐部成功冲超，南通海门珂缔缘足球俱乐部保乙成功。《中国体育报》专题报道我市足球改革发展成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体育产业竞争力进一步提升。培植企业做大做强。扎实开展“招商引资突破年”“营商环境提升年”活动，培育新增体育服务业规上企业10家，其中启东市7家；成立服务企业专班全力助企纾困解难，推动复工复产；组织百余家体育生产型企业参加“双11”“双12”“体育嘉年华”和中国体博会；向上争取体育产业发展专项资金和体育场馆补助经费2000多万元；积极协调金融机构为体育用品生产企业和健身场馆提供低息贷款，同时为租户减免租金。放大体育赛事效应。启东市、通州区、通奥体育积极开展CBA、NBL联赛、全国沙滩排球巡回赛、首届中国大学生沙滩足球锦标赛、长三角自行车赛等赛事，提升办赛水平，提高南通知名度，拉动体育消费2亿元以上。推动“体育+”融合发展。加大“体旅融合”，促进体育旅游消费，如东县小洋口旅游度假区入选首届国家体育旅游精品项目，南通开沙岛旅游度假区入选省体育旅游示范基地。加大“体医融合”，体育系统与卫生系统紧密合作，助力全民“大健康”。加大体彩销售力度。全市体彩销售额达16.28亿元，市县两级获体彩公益金1.4081亿元，再创新高，位列苏中苏北第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体育行政服务水平进一步提升。提升依法治体水平。强化行政执法力量配备，规范依法行政行为，提升服务群众、服务企业、服务社会的能力和质效。强化审批监管效能。本着“严格务实、高效便民”原则，把行政审批15个工作日办结的期限缩短为从受理到办结不超过3天。建立健全行政执法法制审核、重大案件集中讨论、公示等制度。出台校外培训机构设置标准，推动落实体育类校外培训机构审批监管，加强高危项目审批，保证体育市场安全稳定。加大体育执法力度。完善行政执法“三项制度”建设，建立健全《南通市体育局行政执法处罚程序规定》等六项长效管理制度。结合“双随机</w:t>
      </w:r>
      <w:r>
        <w:rPr>
          <w:rFonts w:hint="eastAsia" w:ascii="仿宋" w:hAnsi="仿宋" w:eastAsia="仿宋" w:cs="仿宋"/>
          <w:lang w:eastAsia="zh-CN"/>
        </w:rPr>
        <w:t>、</w:t>
      </w:r>
      <w:bookmarkStart w:id="0" w:name="_GoBack"/>
      <w:bookmarkEnd w:id="0"/>
      <w:r>
        <w:rPr>
          <w:rFonts w:ascii="仿宋" w:hAnsi="仿宋" w:eastAsia="仿宋" w:cs="仿宋"/>
        </w:rPr>
        <w:t>一公开”，对全市体育经营场所开展150多场次的执法检查，进一步净化体育市场环境。打造“安心体育”监管平台。在全省率先创设商家诚信发卡、银行资金存管、市民放心消费、政府有效监管、金融措施保障的“五位一体”单用途预付卡管理“南通模式”，市区63家健身场所纳入监管。国家体育总局《体育工作情况》进行宣传，江苏省商务厅印发《关于南通市加强预付卡管理有关做法的通知》予以推广，江苏电视台等媒体进行报道。</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南通市体育局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南通市体育局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1,337.20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2,104.94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1,022.53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314.67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2,089.10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3,442.14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3,442.14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3,442.14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3,442.14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3,442.14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3,442.14</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1,022.53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914.74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914.74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其他体育支出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314.67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314.67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314.67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314.67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111.28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111.28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2,089.10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3,442.14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1,235.04</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2,207.10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920.37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920.37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910.94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98.36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其他体育支出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15.84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2,089.10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南通市体育局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1,337.20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2,104.94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3,442.14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3,442.14</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1,337.20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2,104.94</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3,442.14</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3,442.14</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1,337.20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2,104.94</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3,442.14</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1,235.04</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2,207.10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920.37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914.74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910.94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其他体育支出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2,089.10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南通市体育局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1,235.04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1,151.80</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1,337.20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1,235.04</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914.74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其他体育支出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1,235.04</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1,151.80</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2.52</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0.52</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5.73</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0.52</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3.33</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2,101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2,104.94</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2,104.94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15.84</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2,089.10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82.41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18.91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南通市体育局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2022年度收入、支出决算总计3,442.14万元。与上年相比，收、支总计各增加112.21万元，增长3.37%。其中：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（一）收入决算总计3,442.14万元。包括：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1.本年收入决算合计3,442.14万元。与上年相比，增加112.21万元，增长3.37%，变动原因：2022年将下属单位比赛费用统一至主管局报支，对应体彩公益金指标下达至主管局。</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（二）支出决算总计3,442.14万元。包括：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1.本年支出决算合计3,442.14万元。与上年相比，增加112.21万元，增长3.37%，变动原因：2022年将下属单位比赛费用统一至主管局报支。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3,442.14万元，其中：财政拨款收入3,442.14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2022年度本年支出决算合计3,442.14万元，其中：基本支出1,235.04万元，占35.88%；项目支出2,207.1万元，占64.12%；上缴上级支出0万元，占0%；经营支出0万元，占0%；对附属单位补助支出0万元，占0%。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2022年度财政拨款收入、支出决算总计3,442.14万元。与上年相比，收、支总计各增加112.21万元，增长3.37%，变动原因：2022年将下属单位比赛费用统一至主管局报支。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2022年度财政拨款支出决算3,442.14万元，占本年支出合计的100%。与2022年度财政拨款支出年初预算1,433.5万元相比，完成年初预算的240.12%。其中：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1.体育（款）行政运行（项）。年初预算657.07万元，支出决算914.74万元，完成年初预算的139.21%。决算数与年初预算数的差异原因：年中追加应休未休、基础绩效奖、抚恤金等支出。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2.体育（款）一般行政管理事务（项）。年初预算99.76万元，支出决算98.36万元，完成年初预算的98.6%。决算数与年初预算数的差异原因：较为圆满的完成各项工作任务，同时经费使用厉行节约。</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体育（款）其他体育支出（项）。年初预算0万元，支出决算9.43万元，（年初预算数为0万元，无法计算完成比率）决算数与年初预算数的差异原因：本项支出为体育系统事业单位主要负责人奖励性绩效，年初无预算，年中追加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国有土地使用权出让收入安排的支出（款）其他国有土地使用权出让收入安排的支出（项）。年初预算0万元，支出决算15.84万元，（年初预算数为0万元，无法计算完成比率）决算数与年初预算数的差异原因：根据公共体育设施布局规划合同支付进度年中追加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1.住房改革支出（款）住房公积金（项）。年初预算111.28万元，支出决算111.28万元，完成年初预算的100%。决算数与年初预算数相同。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2.住房改革支出（款）提租补贴（项）。年初预算203.39万元，支出决算203.39万元，完成年初预算的100%。决算数与年初预算数相同。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公益金安排的支出（款）用于体育事业的彩票公益金支出（项）。年初预算362万元，支出决算2,089.1万元，完成年初预算的577.1%。决算数与年初预算数的差异原因：年中根据业务工作需要，追加体彩公益金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2022年度财政拨款基本支出决算1,235.04万元，其中：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（一）人员经费1,151.8万元。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（二）公用经费83.24万元。</w:t>
      </w:r>
      <w:r>
        <w:rPr>
          <w:rFonts w:ascii="仿宋" w:hAnsi="仿宋" w:eastAsia="仿宋" w:cs="仿宋"/>
        </w:rPr>
        <w:t>主要包括：办公费、邮电费、差旅费、维修（护）费、会议费、培训费、公务接待费、劳务费、工会经费、福利费、公务用车运行维护费、其他交通费用、其他商品和服务支出、办公设备购置。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2022年度一般公共预算财政拨款支出决算1,337.2万元。与上年相比，增加49.06万元，增长3.81%，变动原因：公积金与提租补贴、体育经济工作专项等经费使用较上年增加。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2022年度一般公共预算财政拨款基本支出决算1,235.04万元，其中：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（一）人员经费1,151.8万元。</w:t>
      </w:r>
      <w:r>
        <w:rPr>
          <w:rFonts w:ascii="仿宋" w:hAnsi="仿宋" w:eastAsia="仿宋" w:cs="仿宋"/>
        </w:rPr>
        <w:t>主要包括：基本工资、津贴补贴、奖金、绩效工资、机关事业单位基本养老保险缴费、职业年金缴费、职工基本医疗保险缴费、其他社会保障缴费、住房公积金、其他工资福利支出、离休费、退休费、抚恤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（二）公用经费83.24万元。</w:t>
      </w:r>
      <w:r>
        <w:rPr>
          <w:rFonts w:ascii="仿宋" w:hAnsi="仿宋" w:eastAsia="仿宋" w:cs="仿宋"/>
        </w:rPr>
        <w:t>主要包括：办公费、邮电费、差旅费、维修（护）费、会议费、培训费、公务接待费、劳务费、工会经费、福利费、公务用车运行维护费、其他交通费用、其他商品和服务支出、办公设备购置。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2.52万元（其中：一般公共预算支出2.52万元；政府性基金预算支出0万元；国有资本经营预算支出0万元）。与上年相比，增加0.35万元，变动原因：公务接待经费使用增加。其中，因公出国（境）费支出0万元，占“三公”经费的0%；公务用车购置及运行维护费支出2万元，占“三公”经费的79.37%；公务接待费支出0.52万元，占“三公”经费的20.63%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2万元（其中：一般公共预算支出2万元；政府性基金预算支出0万元；国有资本经营预算支出0万元），支出决算2万元（其中：一般公共预算支出2万元；政府性基金预算支出0万元；国有资本经营预算支出0万元），完成调整后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2万元。公务用车运行维护费主要用于按规定保留的公务用车的燃料费、维修费、过桥过路费、保险费、安全奖励费用等支出。截至2022年12月31日，使用财政拨款开支的公务用车保有量为1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0.52万元（其中：一般公共预算支出0.52万元；政府性基金预算支出0万元；国有资本经营预算支出0万元），支出决算0.52万元（其中：一般公共预算支出0.52万元；政府性基金预算支出0万元；国有资本经营预算支出0万元），完成调整后预算的100%，决算数与预算数相同。其中：国内公务接待支出0.52万元，接待6批次，48人次，开支内容：主要为接待省局来通调研、督导等工作费用；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2.67万元（其中：一般公共预算支出2.67万元；政府性基金预算支出0万元；国有资本经营预算支出0万元），支出决算1.72万元（其中：一般公共预算支出1.72万元；政府性基金预算支出0万元；国有资本经营预算支出0万元），完成调整后预算的64.42%，决算数与预算数的差异原因：根据实际工作需要召开会议，同时经费使用厉行节约。2022年度全年召开会议95个，参加会议2101人次，开支内容：体育系统业务会议、党建会议、党组会、月度例会、约谈服务对象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5.73万元（其中：一般公共预算支出5.73万元；政府性基金预算支出0万元；国有资本经营预算支出0万元），支出决算3.33万元（其中：一般公共预算支出3.33万元；政府性基金预算支出0万元；国有资本经营预算支出0万元），完成调整后预算的58.12%，决算数与预算数的差异原因：受疫情影响组织培训较少，同时经费使用厉行节约。2022年度全年组织培训4个，组织培训43人次，开支内容：体育系统干部能力培训等相关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2022年度政府性基金预算财政拨款支出决算2,104.94万元。与上年相比，增加63.15万元，增长3.09%，变动原因：2022年度将下属单位部分比赛支出统一至主管局报支。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83.24万元（其中：一般公共预算支出83.24万元；政府性基金预算支出0万元；国有资本经营预算支出0万元）。与上年相比，增加1.79万元，增长2.2%，变动原因：年中福利费人均标准提高，对应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438.11万元，其中：政府采购货物支出438.11万元、政府采购工程支出0万元、政府采购服务支出0万元。政府采购授予中小企业合同金额0万元，占政府采购支出总额的0%，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1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本单位共对上年度已实施完成的2个项目开展了绩效自评价，涉及财政性资金合计104.35万元；本单位共开展0项单位整体支出绩效自评价，涉及财政性资金合计0万元。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十九、文化旅游体育与传媒支出(类)体育(款)行政运行(项)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二十、文化旅游体育与传媒支出(类)体育(款)一般行政管理事务(项)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二十一、文化旅游体育与传媒支出(类)体育(款)其他体育支出(项)</w:t>
      </w:r>
      <w:r>
        <w:rPr>
          <w:rFonts w:ascii="仿宋" w:hAnsi="仿宋" w:eastAsia="仿宋" w:cs="仿宋"/>
          <w:b/>
        </w:rPr>
        <w:t>：</w:t>
      </w:r>
      <w:r>
        <w:rPr>
          <w:rFonts w:hint="eastAsia" w:ascii="仿宋" w:hAnsi="仿宋" w:eastAsia="仿宋" w:cs="仿宋"/>
        </w:rPr>
        <w:t>反映除上述项目以外其他用于体育方面的支出。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二十二、城乡社区支出(类)国有土地使用权出让收入安排的支出(款)其他国有土地使用权出让收入安排的支出(项)</w:t>
      </w:r>
      <w:r>
        <w:rPr>
          <w:rFonts w:ascii="仿宋" w:hAnsi="仿宋" w:eastAsia="仿宋" w:cs="仿宋"/>
          <w:b/>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南通市体育局</w:t>
    </w:r>
    <w:r>
      <w:t>2022年度单位决算公开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469A7"/>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2024-01-31T07:01:02Z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2052-11.8.2.11019</vt:lpwstr>
  </property>
  <property fmtid="{D5CDD505-2E9C-101B-9397-08002B2CF9AE}" pid="6" name="LastSaved">
    <vt:filetime>2021-04-15T00:00:00Z</vt:filetime>
  </property>
</Properties>
</file>