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070F11">
        <w:trPr>
          <w:trHeight w:val="4054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</w:tcPr>
          <w:p w:rsidR="00070F11" w:rsidRDefault="00070F11">
            <w:pPr>
              <w:pStyle w:val="a4"/>
              <w:spacing w:line="550" w:lineRule="exact"/>
              <w:rPr>
                <w:rFonts w:ascii="仿宋" w:eastAsia="仿宋" w:hAnsi="仿宋" w:cs="仿宋"/>
                <w:b/>
                <w:bCs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70F11">
        <w:trPr>
          <w:trHeight w:val="4945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F11" w:rsidRDefault="00FE76A6">
            <w:pPr>
              <w:ind w:rightChars="129" w:right="284"/>
              <w:jc w:val="center"/>
              <w:rPr>
                <w:rFonts w:ascii="仿宋" w:eastAsia="仿宋" w:hAnsi="仿宋" w:cs="仿宋"/>
                <w:b/>
                <w:bCs/>
                <w:color w:val="FF0000"/>
              </w:rPr>
            </w:pPr>
            <w:r>
              <w:rPr>
                <w:rFonts w:ascii="宋体" w:eastAsia="宋体" w:hAnsi="宋体" w:cs="宋体"/>
                <w:b/>
                <w:sz w:val="52"/>
              </w:rPr>
              <w:t>2024</w:t>
            </w:r>
            <w:r>
              <w:rPr>
                <w:rFonts w:ascii="宋体" w:eastAsia="宋体" w:hAnsi="宋体" w:cs="宋体"/>
                <w:b/>
                <w:sz w:val="52"/>
              </w:rPr>
              <w:t>年度</w:t>
            </w:r>
            <w:r>
              <w:rPr>
                <w:rFonts w:ascii="宋体" w:eastAsia="宋体" w:hAnsi="宋体" w:cs="宋体"/>
                <w:b/>
                <w:sz w:val="5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52"/>
              </w:rPr>
              <w:br/>
            </w:r>
            <w:r>
              <w:rPr>
                <w:rFonts w:ascii="宋体" w:eastAsia="宋体" w:hAnsi="宋体" w:cs="宋体"/>
                <w:b/>
                <w:sz w:val="52"/>
              </w:rPr>
              <w:t>南通市体育彩票管理中心</w:t>
            </w:r>
            <w:r>
              <w:rPr>
                <w:rFonts w:ascii="宋体" w:eastAsia="宋体" w:hAnsi="宋体" w:cs="宋体"/>
                <w:b/>
                <w:sz w:val="5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52"/>
              </w:rPr>
              <w:br/>
            </w:r>
            <w:r>
              <w:rPr>
                <w:rFonts w:ascii="宋体" w:eastAsia="宋体" w:hAnsi="宋体" w:cs="宋体"/>
                <w:b/>
                <w:sz w:val="52"/>
              </w:rPr>
              <w:t>单位预算公开</w:t>
            </w:r>
          </w:p>
        </w:tc>
      </w:tr>
    </w:tbl>
    <w:p w:rsidR="00070F11" w:rsidRDefault="00070F11">
      <w:pPr>
        <w:ind w:rightChars="129" w:right="284"/>
        <w:jc w:val="both"/>
        <w:rPr>
          <w:rFonts w:ascii="宋体" w:eastAsia="宋体" w:hAnsi="宋体" w:cs="宋体"/>
          <w:b/>
          <w:bCs/>
          <w:sz w:val="52"/>
          <w:szCs w:val="52"/>
        </w:rPr>
        <w:sectPr w:rsidR="00070F11">
          <w:headerReference w:type="default" r:id="rId8"/>
          <w:headerReference w:type="first" r:id="rId9"/>
          <w:pgSz w:w="11906" w:h="16838"/>
          <w:pgMar w:top="1580" w:right="1020" w:bottom="770" w:left="1020" w:header="170" w:footer="280" w:gutter="0"/>
          <w:cols w:space="720"/>
          <w:formProt w:val="0"/>
          <w:titlePg/>
          <w:docGrid w:linePitch="100"/>
        </w:sectPr>
      </w:pPr>
    </w:p>
    <w:p w:rsidR="00070F11" w:rsidRDefault="00070F11">
      <w:pPr>
        <w:pStyle w:val="a4"/>
        <w:spacing w:before="4"/>
        <w:rPr>
          <w:rFonts w:ascii="华文仿宋" w:eastAsia="华文仿宋" w:hAnsi="华文仿宋" w:cs="仿宋"/>
          <w:sz w:val="10"/>
        </w:rPr>
      </w:pPr>
    </w:p>
    <w:p w:rsidR="00070F11" w:rsidRDefault="00FE76A6">
      <w:pPr>
        <w:pStyle w:val="2"/>
        <w:tabs>
          <w:tab w:val="left" w:pos="880"/>
        </w:tabs>
        <w:snapToGrid w:val="0"/>
        <w:ind w:right="31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目</w:t>
      </w:r>
      <w:r>
        <w:rPr>
          <w:rFonts w:ascii="仿宋" w:eastAsia="仿宋" w:hAnsi="仿宋" w:cs="仿宋" w:hint="eastAsia"/>
          <w:b/>
          <w:bCs/>
        </w:rPr>
        <w:tab/>
      </w:r>
      <w:r>
        <w:rPr>
          <w:rFonts w:ascii="仿宋" w:eastAsia="仿宋" w:hAnsi="仿宋" w:cs="仿宋" w:hint="eastAsia"/>
          <w:b/>
          <w:bCs/>
        </w:rPr>
        <w:t>录</w:t>
      </w:r>
    </w:p>
    <w:p w:rsidR="00070F11" w:rsidRDefault="00070F11">
      <w:pPr>
        <w:pStyle w:val="a4"/>
        <w:snapToGrid w:val="0"/>
        <w:spacing w:before="7"/>
        <w:rPr>
          <w:rFonts w:ascii="仿宋" w:eastAsia="仿宋" w:hAnsi="仿宋" w:cs="仿宋"/>
          <w:sz w:val="27"/>
        </w:rPr>
      </w:pP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第一部分</w:t>
      </w:r>
      <w:r>
        <w:rPr>
          <w:rFonts w:ascii="仿宋" w:eastAsia="仿宋" w:hAnsi="仿宋" w:cs="仿宋" w:hint="eastAsia"/>
          <w:b/>
          <w:bCs/>
        </w:rPr>
        <w:t xml:space="preserve"> </w:t>
      </w:r>
      <w:r>
        <w:rPr>
          <w:rFonts w:ascii="仿宋" w:eastAsia="仿宋" w:hAnsi="仿宋" w:cs="仿宋" w:hint="eastAsia"/>
          <w:b/>
          <w:bCs/>
          <w:lang w:val="en-US"/>
        </w:rPr>
        <w:t>单位</w:t>
      </w:r>
      <w:r>
        <w:rPr>
          <w:rFonts w:ascii="仿宋" w:eastAsia="仿宋" w:hAnsi="仿宋" w:cs="仿宋" w:hint="eastAsia"/>
          <w:b/>
          <w:bCs/>
        </w:rPr>
        <w:t>概况</w:t>
      </w:r>
    </w:p>
    <w:p w:rsidR="00070F11" w:rsidRDefault="00FE76A6">
      <w:pPr>
        <w:pStyle w:val="a4"/>
        <w:tabs>
          <w:tab w:val="left" w:pos="2249"/>
        </w:tabs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一、主要职能</w:t>
      </w:r>
    </w:p>
    <w:p w:rsidR="00070F11" w:rsidRDefault="00FE76A6">
      <w:pPr>
        <w:pStyle w:val="a4"/>
        <w:tabs>
          <w:tab w:val="left" w:pos="2249"/>
        </w:tabs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</w:t>
      </w:r>
      <w:r>
        <w:rPr>
          <w:rFonts w:ascii="仿宋" w:eastAsia="仿宋" w:hAnsi="仿宋" w:cs="仿宋" w:hint="eastAsia"/>
          <w:lang w:val="en-US"/>
        </w:rPr>
        <w:t>单位</w:t>
      </w:r>
      <w:r>
        <w:rPr>
          <w:rFonts w:ascii="仿宋" w:eastAsia="仿宋" w:hAnsi="仿宋" w:cs="仿宋" w:hint="eastAsia"/>
        </w:rPr>
        <w:t>机构设置及预算单位构成情况</w:t>
      </w:r>
    </w:p>
    <w:p w:rsidR="00070F11" w:rsidRDefault="00FE76A6">
      <w:pPr>
        <w:pStyle w:val="a4"/>
        <w:tabs>
          <w:tab w:val="left" w:pos="2249"/>
        </w:tabs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三、</w:t>
      </w:r>
      <w:r>
        <w:rPr>
          <w:rFonts w:ascii="仿宋" w:eastAsia="仿宋" w:hAnsi="仿宋" w:cs="仿宋" w:hint="eastAsia"/>
        </w:rPr>
        <w:t>2024</w:t>
      </w:r>
      <w:r>
        <w:rPr>
          <w:rFonts w:ascii="仿宋" w:eastAsia="仿宋" w:hAnsi="仿宋" w:cs="仿宋" w:hint="eastAsia"/>
        </w:rPr>
        <w:t>年度</w:t>
      </w:r>
      <w:r>
        <w:rPr>
          <w:rFonts w:ascii="仿宋" w:eastAsia="仿宋" w:hAnsi="仿宋" w:cs="仿宋" w:hint="eastAsia"/>
          <w:lang w:val="en-US"/>
        </w:rPr>
        <w:t>单位</w:t>
      </w:r>
      <w:r>
        <w:rPr>
          <w:rFonts w:ascii="仿宋" w:eastAsia="仿宋" w:hAnsi="仿宋" w:cs="仿宋" w:hint="eastAsia"/>
        </w:rPr>
        <w:t>主要工作任务及目标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/>
        </w:rPr>
        <w:t>第二部分</w:t>
      </w:r>
      <w:r>
        <w:rPr>
          <w:rFonts w:ascii="仿宋" w:eastAsia="仿宋" w:hAnsi="仿宋" w:cs="仿宋" w:hint="eastAsia"/>
          <w:b/>
          <w:bCs/>
          <w:lang w:val="en-US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lang w:val="en-US" w:bidi="ar"/>
        </w:rPr>
        <w:t>2024</w:t>
      </w:r>
      <w:r>
        <w:rPr>
          <w:rFonts w:ascii="仿宋" w:eastAsia="仿宋" w:hAnsi="仿宋" w:cs="仿宋" w:hint="eastAsia"/>
          <w:b/>
          <w:bCs/>
          <w:lang w:val="en-US"/>
        </w:rPr>
        <w:t>年度</w:t>
      </w:r>
      <w:r>
        <w:rPr>
          <w:rFonts w:ascii="仿宋" w:eastAsia="仿宋" w:hAnsi="仿宋" w:cs="仿宋"/>
          <w:b/>
        </w:rPr>
        <w:t>单位预算表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一、收支总表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二、收入总表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三、支出总表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四、财政拨款收支总表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五、财政拨款支出表（功能科目）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六、财政拨款基本支出表（经济科目）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七、一般公共预算支出表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八、一般公共预算基本支出表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九、一般公共预算“三公”经费、会议费、培训费支出表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十、政府性基金预算支出表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十</w:t>
      </w:r>
      <w:r>
        <w:rPr>
          <w:rFonts w:ascii="仿宋" w:eastAsia="仿宋" w:hAnsi="仿宋" w:cs="仿宋" w:hint="eastAsia"/>
          <w:lang w:val="en-US"/>
        </w:rPr>
        <w:t>一</w:t>
      </w:r>
      <w:r>
        <w:rPr>
          <w:rFonts w:ascii="仿宋" w:eastAsia="仿宋" w:hAnsi="仿宋" w:cs="仿宋" w:hint="eastAsia"/>
        </w:rPr>
        <w:t>、国有资本经营预算支出预算表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十</w:t>
      </w:r>
      <w:r>
        <w:rPr>
          <w:rFonts w:ascii="仿宋" w:eastAsia="仿宋" w:hAnsi="仿宋" w:cs="仿宋" w:hint="eastAsia"/>
          <w:lang w:val="en-US"/>
        </w:rPr>
        <w:t>二</w:t>
      </w:r>
      <w:r>
        <w:rPr>
          <w:rFonts w:ascii="仿宋" w:eastAsia="仿宋" w:hAnsi="仿宋" w:cs="仿宋" w:hint="eastAsia"/>
        </w:rPr>
        <w:t>、一般公共预算机关运行经费支出预算表</w:t>
      </w:r>
    </w:p>
    <w:p w:rsidR="00070F11" w:rsidRDefault="00FE76A6">
      <w:pPr>
        <w:pStyle w:val="a4"/>
        <w:snapToGrid w:val="0"/>
        <w:spacing w:line="312" w:lineRule="auto"/>
        <w:ind w:leftChars="300" w:left="671" w:hanging="1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十</w:t>
      </w:r>
      <w:r>
        <w:rPr>
          <w:rFonts w:ascii="仿宋" w:eastAsia="仿宋" w:hAnsi="仿宋" w:cs="仿宋" w:hint="eastAsia"/>
          <w:lang w:val="en-US"/>
        </w:rPr>
        <w:t>三</w:t>
      </w:r>
      <w:r>
        <w:rPr>
          <w:rFonts w:ascii="仿宋" w:eastAsia="仿宋" w:hAnsi="仿宋" w:cs="仿宋" w:hint="eastAsia"/>
        </w:rPr>
        <w:t>、政府采购支出表</w:t>
      </w:r>
    </w:p>
    <w:p w:rsidR="00070F11" w:rsidRDefault="00FE76A6">
      <w:pPr>
        <w:pStyle w:val="a4"/>
        <w:snapToGrid w:val="0"/>
        <w:spacing w:line="312" w:lineRule="auto"/>
        <w:ind w:leftChars="300" w:left="671" w:right="506" w:hanging="11"/>
        <w:jc w:val="both"/>
        <w:rPr>
          <w:rFonts w:ascii="仿宋" w:eastAsia="仿宋" w:hAnsi="仿宋" w:cs="仿宋"/>
          <w:b/>
          <w:bCs/>
          <w:color w:val="000000"/>
          <w:sz w:val="30"/>
          <w:szCs w:val="30"/>
          <w:lang w:val="en-US" w:bidi="ar"/>
        </w:rPr>
      </w:pPr>
      <w:r>
        <w:rPr>
          <w:rFonts w:ascii="仿宋" w:eastAsia="仿宋" w:hAnsi="仿宋" w:cs="仿宋" w:hint="eastAsia"/>
          <w:b/>
          <w:bCs/>
          <w:lang w:val="en-US"/>
        </w:rPr>
        <w:t>第三部分</w:t>
      </w:r>
      <w:r>
        <w:rPr>
          <w:rFonts w:ascii="仿宋" w:eastAsia="仿宋" w:hAnsi="仿宋" w:cs="仿宋" w:hint="eastAsia"/>
          <w:b/>
          <w:bCs/>
          <w:lang w:val="en-US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lang w:val="en-US" w:bidi="ar"/>
        </w:rPr>
        <w:t>2024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lang w:val="en-US" w:bidi="ar"/>
        </w:rPr>
        <w:t>年度</w:t>
      </w:r>
      <w:r>
        <w:rPr>
          <w:rFonts w:ascii="仿宋" w:eastAsia="仿宋" w:hAnsi="仿宋" w:cs="仿宋"/>
          <w:b/>
          <w:color w:val="000000"/>
          <w:sz w:val="30"/>
        </w:rPr>
        <w:t>单位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lang w:val="en-US" w:bidi="ar"/>
        </w:rPr>
        <w:t>预算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lang w:val="en-US" w:bidi="ar"/>
        </w:rPr>
        <w:t>情况说明</w:t>
      </w:r>
    </w:p>
    <w:p w:rsidR="00070F11" w:rsidRDefault="00FE76A6">
      <w:pPr>
        <w:pStyle w:val="a4"/>
        <w:snapToGrid w:val="0"/>
        <w:spacing w:line="312" w:lineRule="auto"/>
        <w:ind w:leftChars="300" w:left="671" w:right="2575" w:hanging="11"/>
        <w:jc w:val="both"/>
        <w:rPr>
          <w:rFonts w:ascii="仿宋" w:eastAsia="仿宋" w:hAnsi="仿宋" w:cs="仿宋"/>
          <w:b/>
          <w:bCs/>
          <w:color w:val="000000"/>
          <w:sz w:val="30"/>
          <w:szCs w:val="30"/>
          <w:lang w:val="en-US" w:bidi="ar"/>
        </w:rPr>
      </w:pPr>
      <w:r>
        <w:rPr>
          <w:rFonts w:ascii="仿宋" w:eastAsia="仿宋" w:hAnsi="仿宋" w:cs="仿宋" w:hint="eastAsia"/>
          <w:b/>
          <w:bCs/>
          <w:lang w:val="en-US"/>
        </w:rPr>
        <w:t>第</w:t>
      </w:r>
      <w:r>
        <w:rPr>
          <w:rFonts w:ascii="仿宋" w:eastAsia="仿宋" w:hAnsi="仿宋" w:cs="仿宋" w:hint="eastAsia"/>
          <w:b/>
          <w:bCs/>
          <w:lang w:val="en-US"/>
        </w:rPr>
        <w:t>四</w:t>
      </w:r>
      <w:r>
        <w:rPr>
          <w:rFonts w:ascii="仿宋" w:eastAsia="仿宋" w:hAnsi="仿宋" w:cs="仿宋" w:hint="eastAsia"/>
          <w:b/>
          <w:bCs/>
          <w:lang w:val="en-US"/>
        </w:rPr>
        <w:t>部分</w:t>
      </w:r>
      <w:r>
        <w:rPr>
          <w:rFonts w:ascii="仿宋" w:eastAsia="仿宋" w:hAnsi="仿宋" w:cs="仿宋" w:hint="eastAsia"/>
          <w:b/>
          <w:bCs/>
          <w:lang w:val="en-US"/>
        </w:rPr>
        <w:t xml:space="preserve"> </w:t>
      </w:r>
      <w:r>
        <w:rPr>
          <w:rFonts w:ascii="仿宋" w:eastAsia="仿宋" w:hAnsi="仿宋" w:cs="仿宋" w:hint="eastAsia"/>
          <w:b/>
          <w:bCs/>
          <w:lang w:val="en-US"/>
        </w:rPr>
        <w:t>名词解释</w:t>
      </w:r>
    </w:p>
    <w:p w:rsidR="00070F11" w:rsidRDefault="00070F11">
      <w:pPr>
        <w:pStyle w:val="a4"/>
        <w:snapToGrid w:val="0"/>
        <w:spacing w:line="312" w:lineRule="auto"/>
        <w:ind w:leftChars="300" w:left="669" w:right="2414" w:hanging="9"/>
        <w:jc w:val="both"/>
        <w:rPr>
          <w:rFonts w:ascii="仿宋" w:eastAsia="仿宋" w:hAnsi="仿宋" w:cs="仿宋"/>
        </w:rPr>
        <w:sectPr w:rsidR="00070F11">
          <w:footerReference w:type="default" r:id="rId10"/>
          <w:pgSz w:w="11906" w:h="16838"/>
          <w:pgMar w:top="1580" w:right="1020" w:bottom="770" w:left="1020" w:header="170" w:footer="280" w:gutter="0"/>
          <w:pgNumType w:fmt="numberInDash" w:start="1"/>
          <w:cols w:space="720"/>
          <w:formProt w:val="0"/>
          <w:docGrid w:linePitch="100"/>
        </w:sectPr>
      </w:pPr>
    </w:p>
    <w:p w:rsidR="00070F11" w:rsidRDefault="00070F11">
      <w:pPr>
        <w:pStyle w:val="a4"/>
        <w:spacing w:before="1"/>
        <w:rPr>
          <w:rFonts w:ascii="华文仿宋" w:eastAsia="华文仿宋" w:hAnsi="华文仿宋" w:cs="仿宋"/>
          <w:sz w:val="14"/>
        </w:rPr>
      </w:pPr>
    </w:p>
    <w:p w:rsidR="00070F11" w:rsidRDefault="00FE76A6">
      <w:pPr>
        <w:pStyle w:val="4"/>
        <w:tabs>
          <w:tab w:val="left" w:pos="4395"/>
        </w:tabs>
        <w:spacing w:line="606" w:lineRule="exact"/>
        <w:ind w:rightChars="229" w:right="504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第一部分</w:t>
      </w:r>
      <w:r>
        <w:rPr>
          <w:rFonts w:ascii="仿宋" w:eastAsia="仿宋" w:hAnsi="仿宋" w:cs="仿宋" w:hint="eastAsia"/>
          <w:b/>
          <w:bCs/>
          <w:lang w:val="en-US"/>
        </w:rPr>
        <w:t xml:space="preserve"> </w:t>
      </w:r>
      <w:r>
        <w:rPr>
          <w:rFonts w:ascii="仿宋" w:eastAsia="仿宋" w:hAnsi="仿宋" w:cs="仿宋" w:hint="eastAsia"/>
          <w:b/>
          <w:bCs/>
        </w:rPr>
        <w:t>单位概况</w:t>
      </w:r>
    </w:p>
    <w:p w:rsidR="00070F11" w:rsidRDefault="00070F11">
      <w:pPr>
        <w:ind w:rightChars="229" w:right="504"/>
        <w:jc w:val="both"/>
      </w:pP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一、主要职能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/>
        </w:rPr>
        <w:t>、按照国家体育彩票管理的政策和法规，管理全市体育彩票发行工作。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/>
        </w:rPr>
        <w:t>、负责全市体育彩票销售站点的布局调整、彩票销售网络管理和设备维护。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/>
        </w:rPr>
        <w:t>、组织销售员业务培训，保障彩民及时兑奖。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/>
        </w:rPr>
        <w:t>、开展体育彩票政策宣传，监督网点销售活动和资金安全。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二、</w:t>
      </w:r>
      <w:r>
        <w:rPr>
          <w:rFonts w:ascii="仿宋" w:eastAsia="仿宋" w:hAnsi="仿宋" w:cs="仿宋"/>
          <w:b/>
        </w:rPr>
        <w:t>单位</w:t>
      </w:r>
      <w:r>
        <w:rPr>
          <w:rFonts w:ascii="仿宋" w:eastAsia="仿宋" w:hAnsi="仿宋" w:cs="仿宋" w:hint="eastAsia"/>
          <w:b/>
          <w:bCs/>
        </w:rPr>
        <w:t>机构设置及预算单位构成情况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</w:rPr>
        <w:t>根据</w:t>
      </w:r>
      <w:r>
        <w:rPr>
          <w:rFonts w:ascii="仿宋" w:eastAsia="仿宋" w:hAnsi="仿宋" w:cs="仿宋" w:hint="eastAsia"/>
          <w:lang w:val="en-US"/>
        </w:rPr>
        <w:t>单位</w:t>
      </w:r>
      <w:r>
        <w:rPr>
          <w:rFonts w:ascii="仿宋" w:eastAsia="仿宋" w:hAnsi="仿宋" w:cs="仿宋" w:hint="eastAsia"/>
        </w:rPr>
        <w:t>职责分工，</w:t>
      </w:r>
      <w:r>
        <w:rPr>
          <w:rFonts w:ascii="仿宋" w:eastAsia="仿宋" w:hAnsi="仿宋" w:cs="仿宋"/>
        </w:rPr>
        <w:t>本单位内设机构包括：综合部、渠道管理部、营销宣传部和技术部。本单位无下属单位。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三、</w:t>
      </w:r>
      <w:r>
        <w:rPr>
          <w:rFonts w:ascii="仿宋" w:eastAsia="仿宋" w:hAnsi="仿宋" w:cs="仿宋" w:hint="eastAsia"/>
          <w:b/>
          <w:bCs/>
        </w:rPr>
        <w:t>2024</w:t>
      </w:r>
      <w:r>
        <w:rPr>
          <w:rFonts w:ascii="仿宋" w:eastAsia="仿宋" w:hAnsi="仿宋" w:cs="仿宋" w:hint="eastAsia"/>
          <w:b/>
          <w:bCs/>
        </w:rPr>
        <w:t>年度</w:t>
      </w:r>
      <w:r>
        <w:rPr>
          <w:rFonts w:ascii="仿宋" w:eastAsia="仿宋" w:hAnsi="仿宋" w:cs="仿宋"/>
          <w:b/>
        </w:rPr>
        <w:t>单位主要工作任务及目标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（一）进一步解放思想、谋划长远，不断开拓思路、创新举措，加强创新和格局意识培养，大力促进南通体彩高质量发展。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二）深入体彩销售一线，及时把握体彩销售动态，充分听取一线从业人员的意见和建议，善于分析研判不断变化的销售形势。借鉴先进地区彩票销售成功经验，对标补短，力争在渠道布局和营销手段方面取得新的突破。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（三）进一步加强学习教育，提升全体干部职工政治素质和干事能力。充分利用管理手段和执纪手段，持续强化责任担</w:t>
      </w:r>
      <w:r>
        <w:rPr>
          <w:rFonts w:ascii="仿宋" w:eastAsia="仿宋" w:hAnsi="仿宋" w:cs="仿宋"/>
        </w:rPr>
        <w:lastRenderedPageBreak/>
        <w:t>当，提高全市体彩队伍凝聚力和执行力。增进与县（市、区）体彩中心沟通与协调，加强重点工作的评估和考核，进</w:t>
      </w:r>
      <w:r>
        <w:rPr>
          <w:rFonts w:ascii="仿宋" w:eastAsia="仿宋" w:hAnsi="仿宋" w:cs="仿宋"/>
        </w:rPr>
        <w:t>一步引入奖优罚劣机制，形成实干担当、争先创优的良好氛围。</w:t>
      </w:r>
    </w:p>
    <w:p w:rsidR="00070F11" w:rsidRDefault="00FE76A6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四）持续健全完善中心风险防控工作机制，加强重要岗位授权管理和权力制衡，及时做好相关制度废、改、立工作，切实防范化解各类风险，形成领导有力、职责明确、流程清晰、规范有序的工作机制，保障南通体彩安全平稳运行。</w:t>
      </w:r>
    </w:p>
    <w:p w:rsidR="00070F11" w:rsidRDefault="00070F11">
      <w:pPr>
        <w:pStyle w:val="a4"/>
        <w:spacing w:line="235" w:lineRule="auto"/>
        <w:ind w:leftChars="300" w:left="669" w:right="2414" w:hanging="9"/>
        <w:jc w:val="both"/>
        <w:rPr>
          <w:rFonts w:ascii="仿宋" w:eastAsia="仿宋" w:hAnsi="仿宋" w:cs="仿宋"/>
        </w:rPr>
        <w:sectPr w:rsidR="00070F11">
          <w:footerReference w:type="default" r:id="rId11"/>
          <w:pgSz w:w="11906" w:h="16838"/>
          <w:pgMar w:top="1580" w:right="1020" w:bottom="770" w:left="1020" w:header="170" w:footer="280" w:gutter="0"/>
          <w:pgNumType w:fmt="numberInDash"/>
          <w:cols w:space="720"/>
          <w:formProt w:val="0"/>
          <w:docGrid w:linePitch="100"/>
        </w:sectPr>
      </w:pPr>
    </w:p>
    <w:p w:rsidR="00070F11" w:rsidRDefault="00070F11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</w:p>
    <w:p w:rsidR="00070F11" w:rsidRDefault="00070F11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70F11" w:rsidRDefault="00070F11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70F11" w:rsidRDefault="00070F11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70F11" w:rsidRDefault="00070F11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70F11" w:rsidRDefault="00070F11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70F11" w:rsidRDefault="00070F11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070F11" w:rsidRDefault="00FE76A6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第二部分</w:t>
      </w:r>
    </w:p>
    <w:p w:rsidR="00070F11" w:rsidRDefault="00FE76A6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2024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</w:t>
      </w:r>
    </w:p>
    <w:p w:rsidR="00070F11" w:rsidRDefault="00FE76A6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南通市体育彩票管理中心</w:t>
      </w:r>
    </w:p>
    <w:p w:rsidR="00070F11" w:rsidRDefault="00FE76A6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宋体" w:eastAsia="宋体" w:hAnsi="宋体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单位</w:t>
      </w:r>
      <w:r>
        <w:rPr>
          <w:rFonts w:ascii="仿宋" w:eastAsia="仿宋" w:hAnsi="仿宋" w:cs="仿宋"/>
          <w:b/>
          <w:sz w:val="44"/>
        </w:rPr>
        <w:t>预算表</w:t>
      </w:r>
    </w:p>
    <w:tbl>
      <w:tblPr>
        <w:tblW w:w="11329" w:type="dxa"/>
        <w:jc w:val="center"/>
        <w:tblLayout w:type="fixed"/>
        <w:tblLook w:val="04A0" w:firstRow="1" w:lastRow="0" w:firstColumn="1" w:lastColumn="0" w:noHBand="0" w:noVBand="1"/>
      </w:tblPr>
      <w:tblGrid>
        <w:gridCol w:w="3908"/>
        <w:gridCol w:w="1869"/>
        <w:gridCol w:w="3704"/>
        <w:gridCol w:w="67"/>
        <w:gridCol w:w="1781"/>
      </w:tblGrid>
      <w:tr w:rsidR="00070F11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070F11" w:rsidRDefault="00FE76A6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表</w:t>
            </w:r>
          </w:p>
        </w:tc>
      </w:tr>
      <w:tr w:rsidR="00070F11">
        <w:trPr>
          <w:trHeight w:val="348"/>
          <w:jc w:val="center"/>
        </w:trPr>
        <w:tc>
          <w:tcPr>
            <w:tcW w:w="11329" w:type="dxa"/>
            <w:gridSpan w:val="5"/>
          </w:tcPr>
          <w:p w:rsidR="00070F11" w:rsidRDefault="00FE76A6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:rsidR="00070F11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南通市体育彩票管理中心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</w:rPr>
              <w:t>：万元</w:t>
            </w:r>
          </w:p>
        </w:tc>
      </w:tr>
      <w:tr w:rsidR="00070F11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</w:tr>
      <w:tr w:rsidR="00070F11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1,004.58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十八、援助其他地区支出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1,004.58</w:t>
            </w: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070F11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1,004.58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1,004.58</w:t>
            </w:r>
          </w:p>
        </w:tc>
      </w:tr>
      <w:tr w:rsidR="00070F11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</w:p>
        </w:tc>
      </w:tr>
      <w:tr w:rsidR="00070F11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1,004.58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1,004.58</w:t>
            </w:r>
          </w:p>
        </w:tc>
      </w:tr>
    </w:tbl>
    <w:p w:rsidR="00070F11" w:rsidRDefault="00070F11">
      <w:pPr>
        <w:spacing w:before="66"/>
        <w:rPr>
          <w:rFonts w:ascii="仿宋" w:eastAsia="仿宋" w:hAnsi="仿宋" w:cs="仿宋"/>
          <w:b/>
          <w:bCs/>
          <w:color w:val="000000"/>
        </w:rPr>
        <w:sectPr w:rsidR="00070F11">
          <w:footerReference w:type="default" r:id="rId12"/>
          <w:pgSz w:w="11906" w:h="16838"/>
          <w:pgMar w:top="1580" w:right="700" w:bottom="770" w:left="69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703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:rsidR="00070F11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070F11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070F11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070F11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070F11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1,004.58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1,004.58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1,004.58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070F11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056011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南通市体育彩票管理中心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1,004.58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1,004.58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1,004.58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070F11" w:rsidRDefault="00070F11">
      <w:pPr>
        <w:spacing w:before="66"/>
        <w:rPr>
          <w:rFonts w:ascii="仿宋" w:eastAsia="仿宋" w:hAnsi="仿宋" w:cs="仿宋"/>
          <w:b/>
          <w:bCs/>
        </w:rPr>
        <w:sectPr w:rsidR="00070F11">
          <w:footerReference w:type="default" r:id="rId13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070F11">
        <w:trPr>
          <w:trHeight w:val="341"/>
        </w:trPr>
        <w:tc>
          <w:tcPr>
            <w:tcW w:w="15347" w:type="dxa"/>
            <w:gridSpan w:val="8"/>
            <w:vAlign w:val="center"/>
          </w:tcPr>
          <w:p w:rsidR="00070F11" w:rsidRDefault="00FE76A6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03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表</w:t>
            </w:r>
          </w:p>
        </w:tc>
      </w:tr>
      <w:tr w:rsidR="00070F11">
        <w:trPr>
          <w:trHeight w:val="321"/>
        </w:trPr>
        <w:tc>
          <w:tcPr>
            <w:tcW w:w="15347" w:type="dxa"/>
            <w:gridSpan w:val="8"/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070F11">
        <w:trPr>
          <w:trHeight w:val="218"/>
        </w:trPr>
        <w:tc>
          <w:tcPr>
            <w:tcW w:w="12030" w:type="dxa"/>
            <w:gridSpan w:val="6"/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3317" w:type="dxa"/>
            <w:gridSpan w:val="2"/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070F11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070F11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22908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彩票发行销售机构业务费安排的支出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2290805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体育彩票销售机构的业务费支出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70F11" w:rsidRDefault="00070F11">
      <w:pPr>
        <w:spacing w:before="59"/>
        <w:ind w:left="57"/>
        <w:rPr>
          <w:rFonts w:ascii="仿宋" w:eastAsia="仿宋" w:hAnsi="仿宋" w:cs="仿宋"/>
          <w:b/>
          <w:bCs/>
        </w:rPr>
        <w:sectPr w:rsidR="00070F11">
          <w:footerReference w:type="default" r:id="rId14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7"/>
        <w:gridCol w:w="3960"/>
        <w:gridCol w:w="3943"/>
        <w:gridCol w:w="3899"/>
      </w:tblGrid>
      <w:tr w:rsidR="00070F11">
        <w:trPr>
          <w:trHeight w:val="319"/>
        </w:trPr>
        <w:tc>
          <w:tcPr>
            <w:tcW w:w="15789" w:type="dxa"/>
            <w:gridSpan w:val="4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04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rPr>
          <w:trHeight w:val="319"/>
        </w:trPr>
        <w:tc>
          <w:tcPr>
            <w:tcW w:w="15789" w:type="dxa"/>
            <w:gridSpan w:val="4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070F11">
        <w:trPr>
          <w:trHeight w:val="319"/>
        </w:trPr>
        <w:tc>
          <w:tcPr>
            <w:tcW w:w="11890" w:type="dxa"/>
            <w:gridSpan w:val="3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3899" w:type="dxa"/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070F11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出</w:t>
            </w:r>
          </w:p>
        </w:tc>
      </w:tr>
      <w:tr w:rsidR="00070F11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（十）卫生健康支出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（十八）援助其他地区支出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070F11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</w:tr>
    </w:tbl>
    <w:p w:rsidR="00070F11" w:rsidRDefault="00070F11">
      <w:pPr>
        <w:ind w:leftChars="-100" w:left="-220"/>
        <w:rPr>
          <w:rFonts w:ascii="仿宋" w:eastAsia="仿宋" w:hAnsi="仿宋" w:cs="仿宋"/>
          <w:b/>
          <w:bCs/>
        </w:rPr>
        <w:sectPr w:rsidR="00070F11">
          <w:footerReference w:type="default" r:id="rId15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070F11">
        <w:trPr>
          <w:trHeight w:val="321"/>
        </w:trPr>
        <w:tc>
          <w:tcPr>
            <w:tcW w:w="15216" w:type="dxa"/>
            <w:gridSpan w:val="7"/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05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rPr>
          <w:trHeight w:val="321"/>
        </w:trPr>
        <w:tc>
          <w:tcPr>
            <w:tcW w:w="15216" w:type="dxa"/>
            <w:gridSpan w:val="7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070F11">
        <w:trPr>
          <w:trHeight w:val="309"/>
        </w:trPr>
        <w:tc>
          <w:tcPr>
            <w:tcW w:w="13552" w:type="dxa"/>
            <w:gridSpan w:val="6"/>
          </w:tcPr>
          <w:p w:rsidR="00070F11" w:rsidRDefault="00FE76A6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1664" w:type="dxa"/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070F11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070F11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070F11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070F11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070F11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11" w:rsidRDefault="00070F11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070F11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364.26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25.97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</w:tr>
      <w:tr w:rsidR="00070F11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364.26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25.97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</w:tr>
      <w:tr w:rsidR="00070F11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22908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彩票发行销售机构业务费安排的支出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364.26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25.97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</w:tr>
      <w:tr w:rsidR="00070F11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2290805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体育彩票销售机构的业务费支出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364.26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25.97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</w:tr>
    </w:tbl>
    <w:p w:rsidR="00070F11" w:rsidRDefault="00070F11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070F11">
          <w:footerReference w:type="default" r:id="rId16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070F11" w:rsidRDefault="00070F11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3542"/>
        <w:gridCol w:w="2047"/>
        <w:gridCol w:w="2040"/>
        <w:gridCol w:w="2057"/>
      </w:tblGrid>
      <w:tr w:rsidR="00070F11">
        <w:trPr>
          <w:trHeight w:val="319"/>
        </w:trPr>
        <w:tc>
          <w:tcPr>
            <w:tcW w:w="10817" w:type="dxa"/>
            <w:gridSpan w:val="5"/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 w:hint="eastAsia"/>
              </w:rPr>
              <w:t>06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rPr>
          <w:trHeight w:val="319"/>
        </w:trPr>
        <w:tc>
          <w:tcPr>
            <w:tcW w:w="10817" w:type="dxa"/>
            <w:gridSpan w:val="5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070F11">
        <w:trPr>
          <w:trHeight w:val="319"/>
        </w:trPr>
        <w:tc>
          <w:tcPr>
            <w:tcW w:w="8760" w:type="dxa"/>
            <w:gridSpan w:val="4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2057" w:type="dxa"/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070F11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070F11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070F11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364.26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25.97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353.48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353.48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36.36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36.36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57.72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57.72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29.70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20.94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13.47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6.74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7.58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1.33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135.20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135.20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25.97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3.20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3.80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1.20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0.54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0.70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0.54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5.85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5.94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3.10</w:t>
            </w: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10.78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6.97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3.80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70F11" w:rsidRDefault="00070F11">
      <w:pPr>
        <w:spacing w:line="255" w:lineRule="exact"/>
        <w:rPr>
          <w:rFonts w:ascii="仿宋" w:eastAsia="仿宋" w:hAnsi="仿宋" w:cs="仿宋"/>
          <w:b/>
          <w:bCs/>
        </w:rPr>
        <w:sectPr w:rsidR="00070F11">
          <w:footerReference w:type="default" r:id="rId17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070F11">
        <w:trPr>
          <w:trHeight w:val="321"/>
        </w:trPr>
        <w:tc>
          <w:tcPr>
            <w:tcW w:w="15216" w:type="dxa"/>
            <w:gridSpan w:val="7"/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rPr>
          <w:trHeight w:val="321"/>
        </w:trPr>
        <w:tc>
          <w:tcPr>
            <w:tcW w:w="15216" w:type="dxa"/>
            <w:gridSpan w:val="7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070F11">
        <w:trPr>
          <w:trHeight w:val="288"/>
        </w:trPr>
        <w:tc>
          <w:tcPr>
            <w:tcW w:w="13566" w:type="dxa"/>
            <w:gridSpan w:val="6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1650" w:type="dxa"/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070F11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070F11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070F1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070F1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11" w:rsidRDefault="00070F11">
            <w:pPr>
              <w:rPr>
                <w:rFonts w:ascii="仿宋" w:eastAsia="仿宋" w:hAnsi="仿宋" w:cs="仿宋"/>
              </w:rPr>
            </w:pPr>
          </w:p>
        </w:tc>
      </w:tr>
      <w:tr w:rsidR="00070F11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70F11" w:rsidRDefault="00FE76A6">
      <w:pPr>
        <w:tabs>
          <w:tab w:val="left" w:pos="0"/>
        </w:tabs>
        <w:spacing w:before="25"/>
        <w:ind w:left="20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</w:rPr>
        <w:t>本</w:t>
      </w:r>
      <w:r>
        <w:rPr>
          <w:rFonts w:ascii="仿宋" w:eastAsia="仿宋" w:hAnsi="仿宋" w:cs="仿宋"/>
          <w:b/>
        </w:rPr>
        <w:t>单位无一般公共预算支出，故本表无数据。</w:t>
      </w:r>
    </w:p>
    <w:p w:rsidR="00070F11" w:rsidRDefault="00070F11">
      <w:pPr>
        <w:spacing w:before="25"/>
        <w:rPr>
          <w:rFonts w:ascii="仿宋" w:eastAsia="仿宋" w:hAnsi="仿宋" w:cs="仿宋"/>
          <w:b/>
          <w:bCs/>
        </w:rPr>
        <w:sectPr w:rsidR="00070F11">
          <w:footerReference w:type="default" r:id="rId18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7"/>
        <w:gridCol w:w="3667"/>
        <w:gridCol w:w="2413"/>
        <w:gridCol w:w="1974"/>
        <w:gridCol w:w="1673"/>
      </w:tblGrid>
      <w:tr w:rsidR="00070F11">
        <w:trPr>
          <w:trHeight w:val="319"/>
        </w:trPr>
        <w:tc>
          <w:tcPr>
            <w:tcW w:w="10954" w:type="dxa"/>
            <w:gridSpan w:val="5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08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rPr>
          <w:trHeight w:val="189"/>
        </w:trPr>
        <w:tc>
          <w:tcPr>
            <w:tcW w:w="10954" w:type="dxa"/>
            <w:gridSpan w:val="5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070F11">
        <w:trPr>
          <w:trHeight w:val="138"/>
        </w:trPr>
        <w:tc>
          <w:tcPr>
            <w:tcW w:w="9281" w:type="dxa"/>
            <w:gridSpan w:val="4"/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1673" w:type="dxa"/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070F11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070F11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070F11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70F11" w:rsidRDefault="00FE76A6">
      <w:pPr>
        <w:spacing w:before="25"/>
        <w:ind w:left="-22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</w:rPr>
        <w:t>本</w:t>
      </w:r>
      <w:r>
        <w:rPr>
          <w:rFonts w:ascii="仿宋" w:eastAsia="仿宋" w:hAnsi="仿宋" w:cs="仿宋"/>
          <w:b/>
        </w:rPr>
        <w:t>单位无一般公共预算基本支出，故本表无数据。</w:t>
      </w:r>
    </w:p>
    <w:p w:rsidR="00070F11" w:rsidRDefault="00070F11">
      <w:pPr>
        <w:spacing w:before="25"/>
        <w:rPr>
          <w:rFonts w:ascii="仿宋" w:eastAsia="仿宋" w:hAnsi="仿宋" w:cs="仿宋"/>
          <w:b/>
          <w:bCs/>
        </w:rPr>
        <w:sectPr w:rsidR="00070F11">
          <w:footerReference w:type="default" r:id="rId19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070F11">
        <w:trPr>
          <w:trHeight w:val="321"/>
        </w:trPr>
        <w:tc>
          <w:tcPr>
            <w:tcW w:w="15909" w:type="dxa"/>
            <w:gridSpan w:val="8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09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rPr>
          <w:trHeight w:val="207"/>
        </w:trPr>
        <w:tc>
          <w:tcPr>
            <w:tcW w:w="15909" w:type="dxa"/>
            <w:gridSpan w:val="8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070F11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070F11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070F11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11" w:rsidRDefault="00070F11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11" w:rsidRDefault="00070F11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11" w:rsidRDefault="00070F11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11" w:rsidRDefault="00070F11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11" w:rsidRDefault="00070F11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070F11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</w:tr>
    </w:tbl>
    <w:p w:rsidR="00070F11" w:rsidRDefault="00FE76A6">
      <w:pPr>
        <w:ind w:left="-22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</w:rPr>
        <w:t>本</w:t>
      </w:r>
      <w:r>
        <w:rPr>
          <w:rFonts w:ascii="仿宋" w:eastAsia="仿宋" w:hAnsi="仿宋" w:cs="仿宋"/>
          <w:b/>
        </w:rPr>
        <w:t>单位无一般公共预算</w:t>
      </w:r>
      <w:r>
        <w:rPr>
          <w:rFonts w:ascii="仿宋" w:eastAsia="仿宋" w:hAnsi="仿宋" w:cs="仿宋"/>
          <w:b/>
        </w:rPr>
        <w:t>“</w:t>
      </w:r>
      <w:r>
        <w:rPr>
          <w:rFonts w:ascii="仿宋" w:eastAsia="仿宋" w:hAnsi="仿宋" w:cs="仿宋"/>
          <w:b/>
        </w:rPr>
        <w:t>三公</w:t>
      </w:r>
      <w:r>
        <w:rPr>
          <w:rFonts w:ascii="仿宋" w:eastAsia="仿宋" w:hAnsi="仿宋" w:cs="仿宋"/>
          <w:b/>
        </w:rPr>
        <w:t>”</w:t>
      </w:r>
      <w:r>
        <w:rPr>
          <w:rFonts w:ascii="仿宋" w:eastAsia="仿宋" w:hAnsi="仿宋" w:cs="仿宋"/>
          <w:b/>
        </w:rPr>
        <w:t>经费、会议费、培训费支出，故本表无数据。</w:t>
      </w:r>
    </w:p>
    <w:p w:rsidR="00070F11" w:rsidRDefault="00070F11">
      <w:pPr>
        <w:ind w:left="227" w:firstLineChars="100" w:firstLine="221"/>
        <w:rPr>
          <w:rFonts w:ascii="仿宋" w:eastAsia="仿宋" w:hAnsi="仿宋" w:cs="仿宋"/>
          <w:b/>
          <w:bCs/>
        </w:rPr>
        <w:sectPr w:rsidR="00070F11">
          <w:footerReference w:type="default" r:id="rId2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8"/>
        <w:gridCol w:w="2834"/>
        <w:gridCol w:w="1783"/>
        <w:gridCol w:w="2092"/>
        <w:gridCol w:w="2485"/>
      </w:tblGrid>
      <w:tr w:rsidR="00070F11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070F11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70F11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070F11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070F1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070F1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070F11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070F1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</w:tr>
      <w:tr w:rsidR="00070F11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其他支出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</w:tr>
      <w:tr w:rsidR="00070F11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22908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彩票发行销售机构业务费安排的支出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</w:tr>
      <w:tr w:rsidR="00070F11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2290805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体育彩票销售机构的业务费支出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1,004.58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FE76A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614.35</w:t>
            </w:r>
          </w:p>
        </w:tc>
      </w:tr>
    </w:tbl>
    <w:p w:rsidR="00070F11" w:rsidRDefault="00070F11">
      <w:pPr>
        <w:spacing w:before="25"/>
        <w:rPr>
          <w:rFonts w:ascii="仿宋" w:eastAsia="仿宋" w:hAnsi="仿宋" w:cs="仿宋"/>
          <w:b/>
          <w:bCs/>
          <w:lang w:val="en-US"/>
        </w:rPr>
        <w:sectPr w:rsidR="00070F11">
          <w:footerReference w:type="default" r:id="rId21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3803"/>
        <w:gridCol w:w="3111"/>
        <w:gridCol w:w="3094"/>
        <w:gridCol w:w="3091"/>
      </w:tblGrid>
      <w:tr w:rsidR="00070F11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11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070F11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0F11" w:rsidRDefault="00FE76A6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70F11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070F11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070F11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070F11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070F11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070F11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070F11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FE76A6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070F11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070F11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1" w:rsidRDefault="00070F11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070F11" w:rsidRDefault="00FE76A6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/>
          <w:b/>
        </w:rPr>
        <w:t>注：本单位无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:rsidR="00070F11" w:rsidRDefault="00070F11">
      <w:pPr>
        <w:spacing w:before="25"/>
        <w:rPr>
          <w:rFonts w:ascii="仿宋" w:eastAsia="仿宋" w:hAnsi="仿宋" w:cs="仿宋"/>
          <w:b/>
          <w:bCs/>
          <w:lang w:val="en-US"/>
        </w:rPr>
        <w:sectPr w:rsidR="00070F11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8"/>
        <w:gridCol w:w="2876"/>
        <w:gridCol w:w="1920"/>
        <w:gridCol w:w="2351"/>
      </w:tblGrid>
      <w:tr w:rsidR="00070F11">
        <w:trPr>
          <w:trHeight w:val="319"/>
        </w:trPr>
        <w:tc>
          <w:tcPr>
            <w:tcW w:w="10235" w:type="dxa"/>
            <w:gridSpan w:val="4"/>
          </w:tcPr>
          <w:p w:rsidR="00070F11" w:rsidRDefault="00FE76A6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rPr>
          <w:trHeight w:val="90"/>
        </w:trPr>
        <w:tc>
          <w:tcPr>
            <w:tcW w:w="10235" w:type="dxa"/>
            <w:gridSpan w:val="4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070F11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070F11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F11" w:rsidRDefault="00FE76A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070F11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070F11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0F11" w:rsidRDefault="00070F11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070F11" w:rsidRDefault="00FE76A6">
      <w:pPr>
        <w:tabs>
          <w:tab w:val="left" w:pos="-440"/>
        </w:tabs>
        <w:spacing w:before="25"/>
        <w:ind w:left="-440" w:rightChars="-100" w:right="-220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070F11" w:rsidRDefault="00FE76A6">
      <w:pPr>
        <w:tabs>
          <w:tab w:val="left" w:pos="-440"/>
        </w:tabs>
        <w:spacing w:before="25"/>
        <w:ind w:left="-44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/>
        </w:rPr>
        <w:t>2.</w:t>
      </w:r>
      <w:r>
        <w:rPr>
          <w:rFonts w:ascii="仿宋" w:eastAsia="仿宋" w:hAnsi="仿宋" w:cs="仿宋" w:hint="eastAsia"/>
          <w:b/>
          <w:bCs/>
        </w:rPr>
        <w:t>本</w:t>
      </w:r>
      <w:r>
        <w:rPr>
          <w:rFonts w:ascii="仿宋" w:eastAsia="仿宋" w:hAnsi="仿宋" w:cs="仿宋"/>
          <w:b/>
        </w:rPr>
        <w:t>单位无一般公共预算机关运行经费支出，故本表无数据。</w:t>
      </w:r>
    </w:p>
    <w:p w:rsidR="00070F11" w:rsidRDefault="00070F11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070F11">
          <w:footerReference w:type="default" r:id="rId22"/>
          <w:pgSz w:w="11906" w:h="16838"/>
          <w:pgMar w:top="1100" w:right="906" w:bottom="770" w:left="13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:rsidR="00070F11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070F11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070F11"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南通市体育彩票管理中心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070F11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070F11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070F11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11.25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11.25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2.65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2.65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南通市体育彩票管理中心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2.65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2.65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0.30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台式计算机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便携式计算机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0.70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A3</w:t>
            </w:r>
            <w:r>
              <w:rPr>
                <w:rFonts w:ascii="仿宋" w:eastAsia="仿宋" w:hAnsi="仿宋" w:cs="仿宋" w:hint="eastAsia"/>
                <w:lang w:val="en-US"/>
              </w:rPr>
              <w:t>黑白打印机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0.25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服务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8.60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8.60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南通市体育彩票管理中心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8.60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8.60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销售渠道建设专项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出租车客运服务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2.40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营销宣传工作专项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5.00</w:t>
            </w:r>
          </w:p>
        </w:tc>
      </w:tr>
      <w:tr w:rsidR="00070F11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业务培训工作专项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培训费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出租车客运服务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070F11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F11" w:rsidRDefault="00FE76A6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1.20</w:t>
            </w:r>
          </w:p>
        </w:tc>
      </w:tr>
    </w:tbl>
    <w:p w:rsidR="00070F11" w:rsidRDefault="00070F11">
      <w:pPr>
        <w:rPr>
          <w:rFonts w:ascii="仿宋" w:eastAsia="仿宋" w:hAnsi="仿宋" w:cs="仿宋"/>
          <w:b/>
          <w:bCs/>
        </w:rPr>
        <w:sectPr w:rsidR="00070F11">
          <w:footerReference w:type="default" r:id="rId23"/>
          <w:pgSz w:w="16838" w:h="11906" w:orient="landscape"/>
          <w:pgMar w:top="1320" w:right="771" w:bottom="1320" w:left="770" w:header="170" w:footer="280" w:gutter="0"/>
          <w:pgNumType w:fmt="numberInDash"/>
          <w:cols w:space="720"/>
          <w:formProt w:val="0"/>
          <w:docGrid w:linePitch="100"/>
        </w:sectPr>
      </w:pPr>
    </w:p>
    <w:p w:rsidR="00070F11" w:rsidRDefault="00FE76A6">
      <w:pPr>
        <w:pStyle w:val="4"/>
        <w:tabs>
          <w:tab w:val="left" w:pos="3077"/>
        </w:tabs>
        <w:spacing w:line="616" w:lineRule="exact"/>
      </w:pPr>
      <w:r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第三部分</w:t>
      </w: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2024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</w:t>
      </w:r>
      <w:r>
        <w:rPr>
          <w:rFonts w:ascii="仿宋" w:eastAsia="仿宋" w:hAnsi="仿宋" w:cs="仿宋"/>
          <w:b/>
          <w:sz w:val="44"/>
        </w:rPr>
        <w:t>单位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预算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情况说明</w:t>
      </w:r>
    </w:p>
    <w:p w:rsidR="00070F11" w:rsidRDefault="00070F11">
      <w:pPr>
        <w:pStyle w:val="a4"/>
        <w:tabs>
          <w:tab w:val="left" w:pos="3864"/>
          <w:tab w:val="left" w:pos="6248"/>
          <w:tab w:val="left" w:pos="7386"/>
        </w:tabs>
        <w:spacing w:before="1" w:line="360" w:lineRule="auto"/>
        <w:ind w:left="348" w:right="420" w:firstLine="640"/>
        <w:jc w:val="both"/>
        <w:rPr>
          <w:rFonts w:ascii="仿宋" w:eastAsia="仿宋" w:hAnsi="仿宋" w:cs="仿宋"/>
          <w:lang w:val="en-US"/>
        </w:rPr>
      </w:pP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一、收支预算总体情况说明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年度收入、支出预算总计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万元，与上年相比收、支预算总计各增加</w:t>
      </w:r>
      <w:r>
        <w:rPr>
          <w:rFonts w:ascii="仿宋" w:eastAsia="仿宋" w:hAnsi="仿宋" w:cs="仿宋"/>
        </w:rPr>
        <w:t>2.56</w:t>
      </w:r>
      <w:r>
        <w:rPr>
          <w:rFonts w:ascii="仿宋" w:eastAsia="仿宋" w:hAnsi="仿宋" w:cs="仿宋"/>
        </w:rPr>
        <w:t>万元，增长</w:t>
      </w:r>
      <w:r>
        <w:rPr>
          <w:rFonts w:ascii="仿宋" w:eastAsia="仿宋" w:hAnsi="仿宋" w:cs="仿宋"/>
        </w:rPr>
        <w:t>0.26%</w:t>
      </w:r>
      <w:r>
        <w:rPr>
          <w:rFonts w:ascii="仿宋" w:eastAsia="仿宋" w:hAnsi="仿宋" w:cs="仿宋"/>
        </w:rPr>
        <w:t>。其中：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（一）收入预算总计</w:t>
      </w:r>
      <w:r>
        <w:rPr>
          <w:rFonts w:ascii="仿宋" w:eastAsia="仿宋" w:hAnsi="仿宋" w:cs="仿宋"/>
          <w:b/>
        </w:rPr>
        <w:t>1,004.58</w:t>
      </w:r>
      <w:r>
        <w:rPr>
          <w:rFonts w:ascii="仿宋" w:eastAsia="仿宋" w:hAnsi="仿宋" w:cs="仿宋"/>
          <w:b/>
        </w:rPr>
        <w:t>万元。包括：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/>
        </w:rPr>
        <w:t>．本年收入合计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/>
        </w:rPr>
        <w:t>）一般公共预算拨款收入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/>
        </w:rPr>
        <w:t>）政府性基金预算拨款收入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万元，与上年相比增加</w:t>
      </w:r>
      <w:r>
        <w:rPr>
          <w:rFonts w:ascii="仿宋" w:eastAsia="仿宋" w:hAnsi="仿宋" w:cs="仿宋"/>
        </w:rPr>
        <w:t>2.56</w:t>
      </w:r>
      <w:r>
        <w:rPr>
          <w:rFonts w:ascii="仿宋" w:eastAsia="仿宋" w:hAnsi="仿宋" w:cs="仿宋"/>
        </w:rPr>
        <w:t>万元，增长</w:t>
      </w:r>
      <w:r>
        <w:rPr>
          <w:rFonts w:ascii="仿宋" w:eastAsia="仿宋" w:hAnsi="仿宋" w:cs="仿宋"/>
        </w:rPr>
        <w:t>0.26%</w:t>
      </w:r>
      <w:r>
        <w:rPr>
          <w:rFonts w:ascii="仿宋" w:eastAsia="仿宋" w:hAnsi="仿宋" w:cs="仿宋"/>
        </w:rPr>
        <w:t>。主要原因是人员岗位调整，经费增加；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年增加政府购买服务岗位人员补充工会经费。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/>
        </w:rPr>
        <w:t>）国有资本经营预算拨款收入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/>
        </w:rPr>
        <w:t>）财政专户管理资金收入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5</w:t>
      </w:r>
      <w:r>
        <w:rPr>
          <w:rFonts w:ascii="仿宋" w:eastAsia="仿宋" w:hAnsi="仿宋" w:cs="仿宋"/>
        </w:rPr>
        <w:t>）事业收入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6</w:t>
      </w:r>
      <w:r>
        <w:rPr>
          <w:rFonts w:ascii="仿宋" w:eastAsia="仿宋" w:hAnsi="仿宋" w:cs="仿宋"/>
        </w:rPr>
        <w:t>）事业单位经营收入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</w:t>
      </w:r>
      <w:r>
        <w:rPr>
          <w:rFonts w:ascii="仿宋" w:eastAsia="仿宋" w:hAnsi="仿宋" w:cs="仿宋"/>
        </w:rPr>
        <w:t>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7</w:t>
      </w:r>
      <w:r>
        <w:rPr>
          <w:rFonts w:ascii="仿宋" w:eastAsia="仿宋" w:hAnsi="仿宋" w:cs="仿宋"/>
        </w:rPr>
        <w:t>）上级补助收入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8</w:t>
      </w:r>
      <w:r>
        <w:rPr>
          <w:rFonts w:ascii="仿宋" w:eastAsia="仿宋" w:hAnsi="仿宋" w:cs="仿宋"/>
        </w:rPr>
        <w:t>）附属单位上缴收入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9</w:t>
      </w:r>
      <w:r>
        <w:rPr>
          <w:rFonts w:ascii="仿宋" w:eastAsia="仿宋" w:hAnsi="仿宋" w:cs="仿宋"/>
        </w:rPr>
        <w:t>）其他收入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/>
        </w:rPr>
        <w:t>．上年结转结余为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万元。与上年预算数相同。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（二）支出预算总计</w:t>
      </w:r>
      <w:r>
        <w:rPr>
          <w:rFonts w:ascii="仿宋" w:eastAsia="仿宋" w:hAnsi="仿宋" w:cs="仿宋"/>
          <w:b/>
        </w:rPr>
        <w:t>1,004.58</w:t>
      </w:r>
      <w:r>
        <w:rPr>
          <w:rFonts w:ascii="仿宋" w:eastAsia="仿宋" w:hAnsi="仿宋" w:cs="仿宋"/>
          <w:b/>
        </w:rPr>
        <w:t>万元。包括：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/>
        </w:rPr>
        <w:t>．本年支出合计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lastRenderedPageBreak/>
        <w:t>（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/>
        </w:rPr>
        <w:t>）其他支出（类）支出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万元，主要用于体育彩票销售机构的业务费支出。与上年相比增加</w:t>
      </w:r>
      <w:r>
        <w:rPr>
          <w:rFonts w:ascii="仿宋" w:eastAsia="仿宋" w:hAnsi="仿宋" w:cs="仿宋"/>
        </w:rPr>
        <w:t>2.56</w:t>
      </w:r>
      <w:r>
        <w:rPr>
          <w:rFonts w:ascii="仿宋" w:eastAsia="仿宋" w:hAnsi="仿宋" w:cs="仿宋"/>
        </w:rPr>
        <w:t>万元，增长</w:t>
      </w:r>
      <w:r>
        <w:rPr>
          <w:rFonts w:ascii="仿宋" w:eastAsia="仿宋" w:hAnsi="仿宋" w:cs="仿宋"/>
        </w:rPr>
        <w:t>0.26%</w:t>
      </w:r>
      <w:r>
        <w:rPr>
          <w:rFonts w:ascii="仿宋" w:eastAsia="仿宋" w:hAnsi="仿宋" w:cs="仿宋"/>
        </w:rPr>
        <w:t>。主要原因是人员岗位调整，经费增加；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年增加政府购买服务岗位人员补充工会经费。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/>
        </w:rPr>
        <w:t>．年终结转结</w:t>
      </w:r>
      <w:r>
        <w:rPr>
          <w:rFonts w:ascii="仿宋" w:eastAsia="仿宋" w:hAnsi="仿宋" w:cs="仿宋"/>
        </w:rPr>
        <w:t>余为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二、收入预算情况说明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年收入预算合计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万元，包括本年收入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万元，上年结转结余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其中：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本年一般公共预算收入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本年政府性基金预算收入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100%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本年国有资本经营预算收入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本年财政专户管理资金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本年事业收入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本年事业单位经营收入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本年上级补助收入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本年附属单位上缴收入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本年其他收入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上年结转结余的一般公共预算收入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上年结转结余的政府性基金预算收入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上年结转结余的国有资本经营预算收入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上年结转结余的财政专户管理资金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上年结转结余的单位资金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="-3" w:right="420" w:firstLine="3"/>
        <w:jc w:val="center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noProof/>
          <w:lang w:val="en-US" w:bidi="ar-SA"/>
        </w:rPr>
        <w:lastRenderedPageBreak/>
        <w:drawing>
          <wp:inline distT="0" distB="0" distL="0" distR="0">
            <wp:extent cx="6134100" cy="3429000"/>
            <wp:effectExtent l="0" t="0" r="0" b="0"/>
            <wp:docPr id="1" name="Drawing 1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ed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三、支出预算情况说明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年支出预算合计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万元，其中：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基本支出</w:t>
      </w:r>
      <w:r>
        <w:rPr>
          <w:rFonts w:ascii="仿宋" w:eastAsia="仿宋" w:hAnsi="仿宋" w:cs="仿宋"/>
        </w:rPr>
        <w:t>390.23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38.85%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项目支出</w:t>
      </w:r>
      <w:r>
        <w:rPr>
          <w:rFonts w:ascii="仿宋" w:eastAsia="仿宋" w:hAnsi="仿宋" w:cs="仿宋"/>
        </w:rPr>
        <w:t>614.35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61.15%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事业单位经营支出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上缴上级支出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对附属单位补助支出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="-3" w:right="420" w:firstLine="3"/>
        <w:jc w:val="center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noProof/>
          <w:lang w:val="en-US" w:bidi="ar-SA"/>
        </w:rPr>
        <w:lastRenderedPageBreak/>
        <w:drawing>
          <wp:inline distT="0" distB="0" distL="0" distR="0">
            <wp:extent cx="6134100" cy="3429000"/>
            <wp:effectExtent l="0" t="0" r="0" b="0"/>
            <wp:docPr id="2" name="Drawing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rated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四、财政拨款收支预算总体情况说明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年度财政拨款收、支总预算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万元。与上年相比，财政拨款收、支总计各增加</w:t>
      </w:r>
      <w:r>
        <w:rPr>
          <w:rFonts w:ascii="仿宋" w:eastAsia="仿宋" w:hAnsi="仿宋" w:cs="仿宋"/>
        </w:rPr>
        <w:t>2.56</w:t>
      </w:r>
      <w:r>
        <w:rPr>
          <w:rFonts w:ascii="仿宋" w:eastAsia="仿宋" w:hAnsi="仿宋" w:cs="仿宋"/>
        </w:rPr>
        <w:t>万元，增长</w:t>
      </w:r>
      <w:r>
        <w:rPr>
          <w:rFonts w:ascii="仿宋" w:eastAsia="仿宋" w:hAnsi="仿宋" w:cs="仿宋"/>
        </w:rPr>
        <w:t>0.26%</w:t>
      </w:r>
      <w:r>
        <w:rPr>
          <w:rFonts w:ascii="仿宋" w:eastAsia="仿宋" w:hAnsi="仿宋" w:cs="仿宋"/>
        </w:rPr>
        <w:t>。主要原因是人员岗位调整，经费增加；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年增加政府购买服务岗位人员补充工会经费。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五、财政拨款支出预算情况说明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年财政拨款预算支出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万元，占本年支出合计的</w:t>
      </w:r>
      <w:r>
        <w:rPr>
          <w:rFonts w:ascii="仿宋" w:eastAsia="仿宋" w:hAnsi="仿宋" w:cs="仿宋"/>
        </w:rPr>
        <w:t>100%</w:t>
      </w:r>
      <w:r>
        <w:rPr>
          <w:rFonts w:ascii="仿宋" w:eastAsia="仿宋" w:hAnsi="仿宋" w:cs="仿宋"/>
        </w:rPr>
        <w:t>。与上年相比，财政拨款支出增加</w:t>
      </w:r>
      <w:r>
        <w:rPr>
          <w:rFonts w:ascii="仿宋" w:eastAsia="仿宋" w:hAnsi="仿宋" w:cs="仿宋"/>
        </w:rPr>
        <w:t>2.56</w:t>
      </w:r>
      <w:r>
        <w:rPr>
          <w:rFonts w:ascii="仿宋" w:eastAsia="仿宋" w:hAnsi="仿宋" w:cs="仿宋"/>
        </w:rPr>
        <w:t>万元，增长</w:t>
      </w:r>
      <w:r>
        <w:rPr>
          <w:rFonts w:ascii="仿宋" w:eastAsia="仿宋" w:hAnsi="仿宋" w:cs="仿宋"/>
        </w:rPr>
        <w:t>0.26%</w:t>
      </w:r>
      <w:r>
        <w:rPr>
          <w:rFonts w:ascii="仿宋" w:eastAsia="仿宋" w:hAnsi="仿宋" w:cs="仿宋"/>
        </w:rPr>
        <w:t>。主要原因是人员岗位调整，经费增加；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年增加政府购买服务岗位人员补充工会经费。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其中：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（一）其他支出（类）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彩票发行销售机构业务费安排的支出（款）体育彩票销售机构的业务费支出（项）支出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万元，与上年相比增加</w:t>
      </w:r>
      <w:r>
        <w:rPr>
          <w:rFonts w:ascii="仿宋" w:eastAsia="仿宋" w:hAnsi="仿宋" w:cs="仿宋"/>
        </w:rPr>
        <w:t>2.56</w:t>
      </w:r>
      <w:r>
        <w:rPr>
          <w:rFonts w:ascii="仿宋" w:eastAsia="仿宋" w:hAnsi="仿宋" w:cs="仿宋"/>
        </w:rPr>
        <w:t>万</w:t>
      </w:r>
      <w:r>
        <w:rPr>
          <w:rFonts w:ascii="仿宋" w:eastAsia="仿宋" w:hAnsi="仿宋" w:cs="仿宋"/>
        </w:rPr>
        <w:lastRenderedPageBreak/>
        <w:t>元，增长</w:t>
      </w:r>
      <w:r>
        <w:rPr>
          <w:rFonts w:ascii="仿宋" w:eastAsia="仿宋" w:hAnsi="仿宋" w:cs="仿宋"/>
        </w:rPr>
        <w:t>0.26%</w:t>
      </w:r>
      <w:r>
        <w:rPr>
          <w:rFonts w:ascii="仿宋" w:eastAsia="仿宋" w:hAnsi="仿宋" w:cs="仿宋"/>
        </w:rPr>
        <w:t>。主要原因是人员岗位调整，经费增加；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年增加政府购买服务岗位人员补充工会经费。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六、财政拨款基本支</w:t>
      </w:r>
      <w:r>
        <w:rPr>
          <w:rFonts w:ascii="仿宋" w:eastAsia="仿宋" w:hAnsi="仿宋" w:cs="仿宋"/>
          <w:b/>
        </w:rPr>
        <w:t>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年度财政拨款基本支出预算</w:t>
      </w:r>
      <w:r>
        <w:rPr>
          <w:rFonts w:ascii="仿宋" w:eastAsia="仿宋" w:hAnsi="仿宋" w:cs="仿宋"/>
        </w:rPr>
        <w:t>390.23</w:t>
      </w:r>
      <w:r>
        <w:rPr>
          <w:rFonts w:ascii="仿宋" w:eastAsia="仿宋" w:hAnsi="仿宋" w:cs="仿宋"/>
        </w:rPr>
        <w:t>万元，其中：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（一）人员经费</w:t>
      </w:r>
      <w:r>
        <w:rPr>
          <w:rFonts w:ascii="仿宋" w:eastAsia="仿宋" w:hAnsi="仿宋" w:cs="仿宋"/>
        </w:rPr>
        <w:t>364.26</w:t>
      </w:r>
      <w:r>
        <w:rPr>
          <w:rFonts w:ascii="仿宋" w:eastAsia="仿宋" w:hAnsi="仿宋" w:cs="仿宋"/>
        </w:rPr>
        <w:t>万元。主要包括：基本工资、津贴补贴、奖金、绩效工资、机关事业单位基本养老保险缴费、职业年金缴费、职工基本医疗保险缴费、公务员医疗补助缴费、其他社会保障缴费、住房公积金、其他工资福利支出、退休费、奖励金、其他对个人和家庭的补助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（二）公用经费</w:t>
      </w:r>
      <w:r>
        <w:rPr>
          <w:rFonts w:ascii="仿宋" w:eastAsia="仿宋" w:hAnsi="仿宋" w:cs="仿宋"/>
        </w:rPr>
        <w:t>25.97</w:t>
      </w:r>
      <w:r>
        <w:rPr>
          <w:rFonts w:ascii="仿宋" w:eastAsia="仿宋" w:hAnsi="仿宋" w:cs="仿宋"/>
        </w:rPr>
        <w:t>万元。主要包括：办公费、水费、电费、邮电费、差旅费、会议费、培训费、公务接待费、工会经费、福利费、其他商品和服务支出。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七、一般公共预算支</w:t>
      </w:r>
      <w:r>
        <w:rPr>
          <w:rFonts w:ascii="仿宋" w:eastAsia="仿宋" w:hAnsi="仿宋" w:cs="仿宋"/>
          <w:b/>
        </w:rPr>
        <w:t>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年一般公共预算财政拨款支出预算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八、一般公共预算基本支出预算情况说明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年度一般公共预算财政拨款基本支出预算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万元，其中：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（一）人员经费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万元。主要包括：无。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（二）公用经费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万元。主要包括：无。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九、一般公共预算</w:t>
      </w:r>
      <w:r>
        <w:rPr>
          <w:rFonts w:ascii="仿宋" w:eastAsia="仿宋" w:hAnsi="仿宋" w:cs="仿宋"/>
          <w:b/>
        </w:rPr>
        <w:t>“</w:t>
      </w:r>
      <w:r>
        <w:rPr>
          <w:rFonts w:ascii="仿宋" w:eastAsia="仿宋" w:hAnsi="仿宋" w:cs="仿宋"/>
          <w:b/>
        </w:rPr>
        <w:t>三公</w:t>
      </w:r>
      <w:r>
        <w:rPr>
          <w:rFonts w:ascii="仿宋" w:eastAsia="仿宋" w:hAnsi="仿宋" w:cs="仿宋"/>
          <w:b/>
        </w:rPr>
        <w:t>”</w:t>
      </w:r>
      <w:r>
        <w:rPr>
          <w:rFonts w:ascii="仿宋" w:eastAsia="仿宋" w:hAnsi="仿宋" w:cs="仿宋"/>
          <w:b/>
        </w:rPr>
        <w:t>经费、会议费、培训费支出预算情况说明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lastRenderedPageBreak/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年度一般公共预算拨款安排的</w:t>
      </w:r>
      <w:r>
        <w:rPr>
          <w:rFonts w:ascii="仿宋" w:eastAsia="仿宋" w:hAnsi="仿宋" w:cs="仿宋"/>
        </w:rPr>
        <w:t>“</w:t>
      </w:r>
      <w:r>
        <w:rPr>
          <w:rFonts w:ascii="仿宋" w:eastAsia="仿宋" w:hAnsi="仿宋" w:cs="仿宋"/>
        </w:rPr>
        <w:t>三公</w:t>
      </w:r>
      <w:r>
        <w:rPr>
          <w:rFonts w:ascii="仿宋" w:eastAsia="仿宋" w:hAnsi="仿宋" w:cs="仿宋"/>
        </w:rPr>
        <w:t>”</w:t>
      </w:r>
      <w:r>
        <w:rPr>
          <w:rFonts w:ascii="仿宋" w:eastAsia="仿宋" w:hAnsi="仿宋" w:cs="仿宋"/>
        </w:rPr>
        <w:t>经费支出预算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万元，与上年预算数相同。其中，因公出国（境）费支出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“</w:t>
      </w:r>
      <w:r>
        <w:rPr>
          <w:rFonts w:ascii="仿宋" w:eastAsia="仿宋" w:hAnsi="仿宋" w:cs="仿宋"/>
        </w:rPr>
        <w:t>三公</w:t>
      </w:r>
      <w:r>
        <w:rPr>
          <w:rFonts w:ascii="仿宋" w:eastAsia="仿宋" w:hAnsi="仿宋" w:cs="仿宋"/>
        </w:rPr>
        <w:t>”</w:t>
      </w:r>
      <w:r>
        <w:rPr>
          <w:rFonts w:ascii="仿宋" w:eastAsia="仿宋" w:hAnsi="仿宋" w:cs="仿宋"/>
        </w:rPr>
        <w:t>经费</w:t>
      </w:r>
      <w:r>
        <w:rPr>
          <w:rFonts w:ascii="仿宋" w:eastAsia="仿宋" w:hAnsi="仿宋" w:cs="仿宋"/>
        </w:rPr>
        <w:t>的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；公务用车购置及运行维护费支出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“</w:t>
      </w:r>
      <w:r>
        <w:rPr>
          <w:rFonts w:ascii="仿宋" w:eastAsia="仿宋" w:hAnsi="仿宋" w:cs="仿宋"/>
        </w:rPr>
        <w:t>三公</w:t>
      </w:r>
      <w:r>
        <w:rPr>
          <w:rFonts w:ascii="仿宋" w:eastAsia="仿宋" w:hAnsi="仿宋" w:cs="仿宋"/>
        </w:rPr>
        <w:t>”</w:t>
      </w:r>
      <w:r>
        <w:rPr>
          <w:rFonts w:ascii="仿宋" w:eastAsia="仿宋" w:hAnsi="仿宋" w:cs="仿宋"/>
        </w:rPr>
        <w:t>经费的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；公务接待费支出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万元，占</w:t>
      </w:r>
      <w:r>
        <w:rPr>
          <w:rFonts w:ascii="仿宋" w:eastAsia="仿宋" w:hAnsi="仿宋" w:cs="仿宋"/>
        </w:rPr>
        <w:t>“</w:t>
      </w:r>
      <w:r>
        <w:rPr>
          <w:rFonts w:ascii="仿宋" w:eastAsia="仿宋" w:hAnsi="仿宋" w:cs="仿宋"/>
        </w:rPr>
        <w:t>三公</w:t>
      </w:r>
      <w:r>
        <w:rPr>
          <w:rFonts w:ascii="仿宋" w:eastAsia="仿宋" w:hAnsi="仿宋" w:cs="仿宋"/>
        </w:rPr>
        <w:t>”</w:t>
      </w:r>
      <w:r>
        <w:rPr>
          <w:rFonts w:ascii="仿宋" w:eastAsia="仿宋" w:hAnsi="仿宋" w:cs="仿宋"/>
        </w:rPr>
        <w:t>经费的</w:t>
      </w:r>
      <w:r>
        <w:rPr>
          <w:rFonts w:ascii="仿宋" w:eastAsia="仿宋" w:hAnsi="仿宋" w:cs="仿宋"/>
        </w:rPr>
        <w:t>0%</w:t>
      </w:r>
      <w:r>
        <w:rPr>
          <w:rFonts w:ascii="仿宋" w:eastAsia="仿宋" w:hAnsi="仿宋" w:cs="仿宋"/>
        </w:rPr>
        <w:t>。具体情况如下：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/>
        </w:rPr>
        <w:t>．因公出国（境）费预算支出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/>
        </w:rPr>
        <w:t>．公务用车购置及运行维护费预算支出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万元。其中：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/>
        </w:rPr>
        <w:t>）公务用车购置预算支出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/>
        </w:rPr>
        <w:t>）公务用车运行维护费预算支出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/>
        </w:rPr>
        <w:t>．公务接待费预算支出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年度一般公共预算拨款安排的会议费预算支出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年度一般公共预算拨款安排的培训费预算支出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十、政府性基金预算支出预算情况说明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年政府性基金支出预算支出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万元。与上年相比增加</w:t>
      </w:r>
      <w:r>
        <w:rPr>
          <w:rFonts w:ascii="仿宋" w:eastAsia="仿宋" w:hAnsi="仿宋" w:cs="仿宋"/>
        </w:rPr>
        <w:t>2.56</w:t>
      </w:r>
      <w:r>
        <w:rPr>
          <w:rFonts w:ascii="仿宋" w:eastAsia="仿宋" w:hAnsi="仿宋" w:cs="仿宋"/>
        </w:rPr>
        <w:t>万元，增长</w:t>
      </w:r>
      <w:r>
        <w:rPr>
          <w:rFonts w:ascii="仿宋" w:eastAsia="仿宋" w:hAnsi="仿宋" w:cs="仿宋"/>
        </w:rPr>
        <w:t>0.26%</w:t>
      </w:r>
      <w:r>
        <w:rPr>
          <w:rFonts w:ascii="仿宋" w:eastAsia="仿宋" w:hAnsi="仿宋" w:cs="仿宋"/>
        </w:rPr>
        <w:t>。主要原因是人员岗位调整，经费增加；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年增加政府购买服务岗位人员补充工会经费。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其中：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其他支出（类）彩票发行销售机构业务费安排的支出（款）体育彩票销售机构的业务费支出（项）支出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万元，主要是</w:t>
      </w:r>
      <w:r>
        <w:rPr>
          <w:rFonts w:ascii="仿宋" w:eastAsia="仿宋" w:hAnsi="仿宋" w:cs="仿宋"/>
        </w:rPr>
        <w:lastRenderedPageBreak/>
        <w:t>用于体育彩票销售机构的业务费支出。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十一、国有资本经营预算支出预算情况说明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南通市体育彩票管理中心</w:t>
      </w: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年国有资本经营预算支出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万元。与上年预算数相同。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十二、一般公共预算机关运行经费支出预算情况说明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年本单位一般公共预算机关运行经费预算支出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万元，与上年预算数相同。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十三、政府采购支出预算情况说明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年度政府采购支出预算总额</w:t>
      </w:r>
      <w:r>
        <w:rPr>
          <w:rFonts w:ascii="仿宋" w:eastAsia="仿宋" w:hAnsi="仿宋" w:cs="仿宋"/>
        </w:rPr>
        <w:t>11.25</w:t>
      </w:r>
      <w:r>
        <w:rPr>
          <w:rFonts w:ascii="仿宋" w:eastAsia="仿宋" w:hAnsi="仿宋" w:cs="仿宋"/>
        </w:rPr>
        <w:t>万元，其中：拟采购货物支出</w:t>
      </w:r>
      <w:r>
        <w:rPr>
          <w:rFonts w:ascii="仿宋" w:eastAsia="仿宋" w:hAnsi="仿宋" w:cs="仿宋"/>
        </w:rPr>
        <w:t>2.65</w:t>
      </w:r>
      <w:r>
        <w:rPr>
          <w:rFonts w:ascii="仿宋" w:eastAsia="仿宋" w:hAnsi="仿宋" w:cs="仿宋"/>
        </w:rPr>
        <w:t>万元、拟采购工程支出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万元、拟采购服务支出</w:t>
      </w:r>
      <w:r>
        <w:rPr>
          <w:rFonts w:ascii="仿宋" w:eastAsia="仿宋" w:hAnsi="仿宋" w:cs="仿宋"/>
        </w:rPr>
        <w:t>8.6</w:t>
      </w:r>
      <w:r>
        <w:rPr>
          <w:rFonts w:ascii="仿宋" w:eastAsia="仿宋" w:hAnsi="仿宋" w:cs="仿宋"/>
        </w:rPr>
        <w:t>万元。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十四、国有资产占用情况说明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本单位共有车辆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辆，其中，副部（省）级及以上领导用车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辆、主要领导干部用车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辆、机要通信用车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辆、应急保障用车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辆、执法执勤用车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辆、特种专业技术用车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辆、离退休干部用车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辆，其他用车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辆；单价</w:t>
      </w:r>
      <w:r>
        <w:rPr>
          <w:rFonts w:ascii="仿宋" w:eastAsia="仿宋" w:hAnsi="仿宋" w:cs="仿宋"/>
        </w:rPr>
        <w:t>50</w:t>
      </w:r>
      <w:r>
        <w:rPr>
          <w:rFonts w:ascii="仿宋" w:eastAsia="仿宋" w:hAnsi="仿宋" w:cs="仿宋"/>
        </w:rPr>
        <w:t>万元（含）以上的通用设备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台（套），单价</w:t>
      </w:r>
      <w:r>
        <w:rPr>
          <w:rFonts w:ascii="仿宋" w:eastAsia="仿宋" w:hAnsi="仿宋" w:cs="仿宋"/>
        </w:rPr>
        <w:t>100</w:t>
      </w:r>
      <w:r>
        <w:rPr>
          <w:rFonts w:ascii="仿宋" w:eastAsia="仿宋" w:hAnsi="仿宋" w:cs="仿宋"/>
        </w:rPr>
        <w:t>万元（含）以上的专用设备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/>
        </w:rPr>
        <w:t>台（套）。</w:t>
      </w:r>
    </w:p>
    <w:p w:rsidR="00070F11" w:rsidRDefault="00FE76A6" w:rsidP="005B70AB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62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  <w:b/>
        </w:rPr>
        <w:t>十五、预算绩效目标设置情况说明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leftChars="200" w:left="440" w:right="420" w:firstLineChars="206" w:firstLine="659"/>
        <w:jc w:val="both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/>
        </w:rPr>
        <w:t>2024</w:t>
      </w:r>
      <w:r>
        <w:rPr>
          <w:rFonts w:ascii="仿宋" w:eastAsia="仿宋" w:hAnsi="仿宋" w:cs="仿宋"/>
        </w:rPr>
        <w:t>年度，本单位整体支出纳入绩效目标管理，涉及财政性资金</w:t>
      </w:r>
      <w:r>
        <w:rPr>
          <w:rFonts w:ascii="仿宋" w:eastAsia="仿宋" w:hAnsi="仿宋" w:cs="仿宋"/>
        </w:rPr>
        <w:t>1,004.58</w:t>
      </w:r>
      <w:r>
        <w:rPr>
          <w:rFonts w:ascii="仿宋" w:eastAsia="仿宋" w:hAnsi="仿宋" w:cs="仿宋"/>
        </w:rPr>
        <w:t>万元；本单位共</w:t>
      </w:r>
      <w:r>
        <w:rPr>
          <w:rFonts w:ascii="仿宋" w:eastAsia="仿宋" w:hAnsi="仿宋" w:cs="仿宋"/>
        </w:rPr>
        <w:t>9</w:t>
      </w:r>
      <w:r>
        <w:rPr>
          <w:rFonts w:ascii="仿宋" w:eastAsia="仿宋" w:hAnsi="仿宋" w:cs="仿宋"/>
        </w:rPr>
        <w:t>个项目纳入绩效目标管理，涉及财政性资金合计</w:t>
      </w:r>
      <w:r>
        <w:rPr>
          <w:rFonts w:ascii="仿宋" w:eastAsia="仿宋" w:hAnsi="仿宋" w:cs="仿宋"/>
        </w:rPr>
        <w:t>614.35</w:t>
      </w:r>
      <w:r>
        <w:rPr>
          <w:rFonts w:ascii="仿宋" w:eastAsia="仿宋" w:hAnsi="仿宋" w:cs="仿宋"/>
        </w:rPr>
        <w:t>万元，占财政性资金</w:t>
      </w:r>
      <w:r>
        <w:rPr>
          <w:rFonts w:ascii="仿宋" w:eastAsia="仿宋" w:hAnsi="仿宋" w:cs="仿宋"/>
        </w:rPr>
        <w:t>(</w:t>
      </w:r>
      <w:r>
        <w:rPr>
          <w:rFonts w:ascii="仿宋" w:eastAsia="仿宋" w:hAnsi="仿宋" w:cs="仿宋"/>
        </w:rPr>
        <w:t>人员类和运转类中的公用经费项目支出除外</w:t>
      </w:r>
      <w:r>
        <w:rPr>
          <w:rFonts w:ascii="仿宋" w:eastAsia="仿宋" w:hAnsi="仿宋" w:cs="仿宋"/>
        </w:rPr>
        <w:t>)</w:t>
      </w:r>
      <w:r>
        <w:rPr>
          <w:rFonts w:ascii="仿宋" w:eastAsia="仿宋" w:hAnsi="仿宋" w:cs="仿宋"/>
        </w:rPr>
        <w:t>总额的比例为</w:t>
      </w:r>
      <w:r>
        <w:rPr>
          <w:rFonts w:ascii="仿宋" w:eastAsia="仿宋" w:hAnsi="仿宋" w:cs="仿宋"/>
        </w:rPr>
        <w:t>100%</w:t>
      </w:r>
      <w:r>
        <w:rPr>
          <w:rFonts w:ascii="仿宋" w:eastAsia="仿宋" w:hAnsi="仿宋" w:cs="仿宋"/>
        </w:rPr>
        <w:t>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第四部分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名词解释</w:t>
      </w:r>
    </w:p>
    <w:p w:rsidR="00070F11" w:rsidRDefault="00070F11">
      <w:pPr>
        <w:pStyle w:val="a4"/>
        <w:tabs>
          <w:tab w:val="left" w:pos="3864"/>
          <w:tab w:val="left" w:pos="6248"/>
          <w:tab w:val="left" w:pos="7386"/>
        </w:tabs>
        <w:ind w:leftChars="200" w:left="440" w:firstLineChars="206" w:firstLine="659"/>
        <w:jc w:val="both"/>
        <w:rPr>
          <w:rFonts w:ascii="仿宋" w:eastAsia="仿宋" w:hAnsi="仿宋" w:cs="仿宋"/>
        </w:rPr>
      </w:pP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leftChars="200" w:left="440" w:rightChars="229" w:right="504" w:firstLineChars="206" w:firstLine="66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一、财政拨款</w:t>
      </w:r>
      <w:r>
        <w:rPr>
          <w:rFonts w:ascii="仿宋" w:eastAsia="仿宋" w:hAnsi="仿宋" w:cs="仿宋"/>
          <w:b/>
        </w:rPr>
        <w:t>：</w:t>
      </w:r>
      <w:r>
        <w:rPr>
          <w:rFonts w:ascii="仿宋" w:eastAsia="仿宋" w:hAnsi="仿宋" w:cs="仿宋" w:hint="eastAsia"/>
        </w:rPr>
        <w:t>单位从同级财政部门取得的各类财政拨款，包括一般公共预算拨款、政府性基金预算拨款、国有资本经营预算拨款。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leftChars="200" w:left="440" w:rightChars="229" w:right="504" w:firstLineChars="206" w:firstLine="66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二、财政专户管理资金</w:t>
      </w:r>
      <w:r>
        <w:rPr>
          <w:rFonts w:ascii="仿宋" w:eastAsia="仿宋" w:hAnsi="仿宋" w:cs="仿宋"/>
          <w:b/>
        </w:rPr>
        <w:t>：</w:t>
      </w:r>
      <w:r>
        <w:rPr>
          <w:rFonts w:ascii="仿宋" w:eastAsia="仿宋" w:hAnsi="仿宋" w:cs="仿宋" w:hint="eastAsia"/>
        </w:rPr>
        <w:t>缴入财政专户、实行专项管理的高中以上学费、住宿费、高校委托培养费、函大、电大、夜大及短训班培训费等教育收费。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leftChars="200" w:left="440" w:rightChars="229" w:right="504" w:firstLineChars="206" w:firstLine="66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三、单位资金</w:t>
      </w:r>
      <w:r>
        <w:rPr>
          <w:rFonts w:ascii="仿宋" w:eastAsia="仿宋" w:hAnsi="仿宋" w:cs="仿宋"/>
          <w:b/>
        </w:rPr>
        <w:t>：</w:t>
      </w:r>
      <w:r>
        <w:rPr>
          <w:rFonts w:ascii="仿宋" w:eastAsia="仿宋" w:hAnsi="仿宋" w:cs="仿宋" w:hint="eastAsia"/>
        </w:rPr>
        <w:t>除财政拨款收入和财政专户管理资金以外的收入，包括事业收入（不含教育收费）、上级补助收入、附属单位上缴收入、事业单位经营收入及其他收入（包含债务收入、投资收益等）。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leftChars="200" w:left="440" w:rightChars="229" w:right="504" w:firstLineChars="206" w:firstLine="66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四、基本支出</w:t>
      </w:r>
      <w:r>
        <w:rPr>
          <w:rFonts w:ascii="仿宋" w:eastAsia="仿宋" w:hAnsi="仿宋" w:cs="仿宋"/>
          <w:b/>
        </w:rPr>
        <w:t>：</w:t>
      </w:r>
      <w:r>
        <w:rPr>
          <w:rFonts w:ascii="仿宋" w:eastAsia="仿宋" w:hAnsi="仿宋" w:cs="仿宋" w:hint="eastAsia"/>
        </w:rPr>
        <w:t>指为保障机构正常运转、完成工作任务而发生的人员支出和公用支出。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leftChars="200" w:left="440" w:rightChars="229" w:right="504" w:firstLineChars="206" w:firstLine="66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五、项目支出</w:t>
      </w:r>
      <w:r>
        <w:rPr>
          <w:rFonts w:ascii="仿宋" w:eastAsia="仿宋" w:hAnsi="仿宋" w:cs="仿宋"/>
          <w:b/>
        </w:rPr>
        <w:t>：</w:t>
      </w:r>
      <w:r>
        <w:rPr>
          <w:rFonts w:ascii="仿宋" w:eastAsia="仿宋" w:hAnsi="仿宋" w:cs="仿宋" w:hint="eastAsia"/>
        </w:rPr>
        <w:t>指在基</w:t>
      </w:r>
      <w:r>
        <w:rPr>
          <w:rFonts w:ascii="仿宋" w:eastAsia="仿宋" w:hAnsi="仿宋" w:cs="仿宋" w:hint="eastAsia"/>
        </w:rPr>
        <w:t>本支出之外为完成特定工作任务和事业发展目标所发生的支出。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leftChars="200" w:left="440" w:rightChars="229" w:right="504" w:firstLineChars="206" w:firstLine="66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六、“三公”经费</w:t>
      </w:r>
      <w:r>
        <w:rPr>
          <w:rFonts w:ascii="仿宋" w:eastAsia="仿宋" w:hAnsi="仿宋" w:cs="仿宋"/>
          <w:b/>
        </w:rPr>
        <w:t>：</w:t>
      </w:r>
      <w:r>
        <w:rPr>
          <w:rFonts w:ascii="仿宋" w:eastAsia="仿宋" w:hAnsi="仿宋" w:cs="仿宋" w:hint="eastAsia"/>
        </w:rPr>
        <w:t>指部门用一般公共预算财政拨款安排的因公出国（境）费、公务用车购置及运行维护费和公务接待费。其中，因公出国（境）费反映单位公务出国（境）的住宿费、旅费、伙食补助费、杂费、培训费等支出；公务用车购置及运行维护费反映单位公务用车购置费、燃料费、维修费、过路过桥费、保险费、安全奖励费用等支出；公务接待费反映单位按规定开支的各类公务接待（含外宾接待）支出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leftChars="200" w:left="440" w:rightChars="229" w:right="504" w:firstLineChars="206" w:firstLine="66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七、机关运行经费</w:t>
      </w:r>
      <w:r>
        <w:rPr>
          <w:rFonts w:ascii="仿宋" w:eastAsia="仿宋" w:hAnsi="仿宋" w:cs="仿宋"/>
          <w:b/>
        </w:rPr>
        <w:t>：</w:t>
      </w:r>
      <w:r>
        <w:rPr>
          <w:rFonts w:ascii="仿宋" w:eastAsia="仿宋" w:hAnsi="仿宋" w:cs="仿宋" w:hint="eastAsia"/>
        </w:rPr>
        <w:t>指行政单位（含参照公务员法管理的事业</w:t>
      </w:r>
      <w:r>
        <w:rPr>
          <w:rFonts w:ascii="仿宋" w:eastAsia="仿宋" w:hAnsi="仿宋" w:cs="仿宋" w:hint="eastAsia"/>
        </w:rPr>
        <w:lastRenderedPageBreak/>
        <w:t>单位）使用一般公共预算安排的基本</w:t>
      </w:r>
      <w:r>
        <w:rPr>
          <w:rFonts w:ascii="仿宋" w:eastAsia="仿宋" w:hAnsi="仿宋" w:cs="仿宋" w:hint="eastAsia"/>
        </w:rPr>
        <w:t>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070F11" w:rsidRDefault="00FE76A6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leftChars="200" w:left="440" w:rightChars="229" w:right="504" w:firstLineChars="206" w:firstLine="66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八、其他支出</w:t>
      </w:r>
      <w:r>
        <w:rPr>
          <w:rFonts w:ascii="仿宋" w:eastAsia="仿宋" w:hAnsi="仿宋" w:cs="仿宋" w:hint="eastAsia"/>
          <w:b/>
          <w:bCs/>
        </w:rPr>
        <w:t>(</w:t>
      </w:r>
      <w:r>
        <w:rPr>
          <w:rFonts w:ascii="仿宋" w:eastAsia="仿宋" w:hAnsi="仿宋" w:cs="仿宋" w:hint="eastAsia"/>
          <w:b/>
          <w:bCs/>
        </w:rPr>
        <w:t>类</w:t>
      </w:r>
      <w:r>
        <w:rPr>
          <w:rFonts w:ascii="仿宋" w:eastAsia="仿宋" w:hAnsi="仿宋" w:cs="仿宋" w:hint="eastAsia"/>
          <w:b/>
          <w:bCs/>
        </w:rPr>
        <w:t>)</w:t>
      </w:r>
      <w:r>
        <w:rPr>
          <w:rFonts w:ascii="仿宋" w:eastAsia="仿宋" w:hAnsi="仿宋" w:cs="仿宋" w:hint="eastAsia"/>
          <w:b/>
          <w:bCs/>
        </w:rPr>
        <w:t>彩票发行销售机构业务费安排的支出</w:t>
      </w:r>
      <w:r>
        <w:rPr>
          <w:rFonts w:ascii="仿宋" w:eastAsia="仿宋" w:hAnsi="仿宋" w:cs="仿宋" w:hint="eastAsia"/>
          <w:b/>
          <w:bCs/>
        </w:rPr>
        <w:t>(</w:t>
      </w:r>
      <w:r>
        <w:rPr>
          <w:rFonts w:ascii="仿宋" w:eastAsia="仿宋" w:hAnsi="仿宋" w:cs="仿宋" w:hint="eastAsia"/>
          <w:b/>
          <w:bCs/>
        </w:rPr>
        <w:t>款</w:t>
      </w:r>
      <w:r>
        <w:rPr>
          <w:rFonts w:ascii="仿宋" w:eastAsia="仿宋" w:hAnsi="仿宋" w:cs="仿宋" w:hint="eastAsia"/>
          <w:b/>
          <w:bCs/>
        </w:rPr>
        <w:t>)</w:t>
      </w:r>
      <w:r>
        <w:rPr>
          <w:rFonts w:ascii="仿宋" w:eastAsia="仿宋" w:hAnsi="仿宋" w:cs="仿宋" w:hint="eastAsia"/>
          <w:b/>
          <w:bCs/>
        </w:rPr>
        <w:t>体育彩票销售机构的业务费支出</w:t>
      </w:r>
      <w:r>
        <w:rPr>
          <w:rFonts w:ascii="仿宋" w:eastAsia="仿宋" w:hAnsi="仿宋" w:cs="仿宋" w:hint="eastAsia"/>
          <w:b/>
          <w:bCs/>
        </w:rPr>
        <w:t>(</w:t>
      </w:r>
      <w:r>
        <w:rPr>
          <w:rFonts w:ascii="仿宋" w:eastAsia="仿宋" w:hAnsi="仿宋" w:cs="仿宋" w:hint="eastAsia"/>
          <w:b/>
          <w:bCs/>
        </w:rPr>
        <w:t>项</w:t>
      </w:r>
      <w:r>
        <w:rPr>
          <w:rFonts w:ascii="仿宋" w:eastAsia="仿宋" w:hAnsi="仿宋" w:cs="仿宋" w:hint="eastAsia"/>
          <w:b/>
          <w:bCs/>
        </w:rPr>
        <w:t>)</w:t>
      </w:r>
      <w:r>
        <w:rPr>
          <w:rFonts w:ascii="仿宋" w:eastAsia="仿宋" w:hAnsi="仿宋" w:cs="仿宋"/>
          <w:b/>
        </w:rPr>
        <w:t>：</w:t>
      </w:r>
      <w:r>
        <w:rPr>
          <w:rFonts w:ascii="仿宋" w:eastAsia="仿宋" w:hAnsi="仿宋" w:cs="仿宋" w:hint="eastAsia"/>
        </w:rPr>
        <w:t>反映体育彩票销售机构的业务费用支出。</w:t>
      </w:r>
    </w:p>
    <w:sectPr w:rsidR="00070F11">
      <w:pgSz w:w="11906" w:h="16838"/>
      <w:pgMar w:top="1580" w:right="820" w:bottom="770" w:left="822" w:header="170" w:footer="280" w:gutter="0"/>
      <w:pgNumType w:fmt="numberInDash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A6" w:rsidRDefault="00FE76A6">
      <w:r>
        <w:separator/>
      </w:r>
    </w:p>
  </w:endnote>
  <w:endnote w:type="continuationSeparator" w:id="0">
    <w:p w:rsidR="00FE76A6" w:rsidRDefault="00FE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86"/>
    <w:family w:val="roman"/>
    <w:pitch w:val="default"/>
    <w:sig w:usb0="E0000AFF" w:usb1="500078FF" w:usb2="00000021" w:usb3="00000000" w:csb0="600001BF" w:csb1="DFF70000"/>
  </w:font>
  <w:font w:name="Liberation Mono">
    <w:charset w:val="86"/>
    <w:family w:val="roman"/>
    <w:pitch w:val="default"/>
    <w:sig w:usb0="E0000AFF" w:usb1="400078FF" w:usb2="00000001" w:usb3="00000000" w:csb0="600001BF" w:csb1="DFF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  <w:rPr>
        <w:rFonts w:ascii="黑体" w:eastAsia="黑体" w:hAnsi="黑体" w:cs="黑体"/>
      </w:rPr>
    </w:pPr>
    <w:r>
      <w:rPr>
        <w:rFonts w:ascii="黑体" w:eastAsia="黑体" w:hAnsi="黑体" w:cs="黑体"/>
        <w:noProof/>
        <w:lang w:val="en-US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6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  <w:rPr>
                              <w:rFonts w:ascii="黑体" w:eastAsia="黑体" w:hAnsi="黑体" w:cs="黑体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fldChar w:fldCharType="separate"/>
                          </w:r>
                          <w:r w:rsidR="005B70AB">
                            <w:rPr>
                              <w:rFonts w:ascii="黑体" w:eastAsia="黑体" w:hAnsi="黑体" w:cs="黑体"/>
                              <w:noProof/>
                            </w:rPr>
                            <w:t>- 1 -</w: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22.55pt;height:11.65pt;z-index:25165107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  <w:rPr>
                        <w:rFonts w:ascii="黑体" w:eastAsia="黑体" w:hAnsi="黑体" w:cs="黑体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</w:rPr>
                      <w:fldChar w:fldCharType="separate"/>
                    </w:r>
                    <w:r w:rsidR="005B70AB">
                      <w:rPr>
                        <w:rFonts w:ascii="黑体" w:eastAsia="黑体" w:hAnsi="黑体" w:cs="黑体"/>
                        <w:noProof/>
                      </w:rPr>
                      <w:t>- 1 -</w:t>
                    </w:r>
                    <w:r>
                      <w:rPr>
                        <w:rFonts w:ascii="黑体" w:eastAsia="黑体" w:hAnsi="黑体" w:cs="黑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7335" cy="199390"/>
              <wp:effectExtent l="0" t="0" r="0" b="0"/>
              <wp:wrapNone/>
              <wp:docPr id="7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- 13 -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5" type="#_x0000_t202" style="position:absolute;left:0;text-align:left;margin-left:0;margin-top:0;width:21.05pt;height:15.7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- 13 -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7335" cy="199390"/>
              <wp:effectExtent l="0" t="0" r="0" b="0"/>
              <wp:wrapNone/>
              <wp:docPr id="6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- 14 -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3" o:spid="_x0000_s1036" type="#_x0000_t202" style="position:absolute;left:0;text-align:left;margin-left:0;margin-top:0;width:21.05pt;height:15.7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- 14 -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7335" cy="199390"/>
              <wp:effectExtent l="0" t="0" r="0" b="0"/>
              <wp:wrapNone/>
              <wp:docPr id="5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- 16 -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37" type="#_x0000_t202" style="position:absolute;left:0;text-align:left;margin-left:0;margin-top:0;width:21.05pt;height:15.7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+NsQIAALE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- 16 -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7335" cy="199390"/>
              <wp:effectExtent l="0" t="0" r="0" b="0"/>
              <wp:wrapNone/>
              <wp:docPr id="4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- 17 -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5" o:spid="_x0000_s1038" type="#_x0000_t202" style="position:absolute;left:0;text-align:left;margin-left:0;margin-top:0;width:21.05pt;height:15.7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- 17 -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7335" cy="199390"/>
              <wp:effectExtent l="0" t="0" r="0" b="0"/>
              <wp:wrapNone/>
              <wp:docPr id="3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- 27 -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1039" type="#_x0000_t202" style="position:absolute;left:0;text-align:left;margin-left:0;margin-top:0;width:21.05pt;height:15.7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- 27 -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  <w:rPr>
        <w:rFonts w:ascii="黑体" w:eastAsia="黑体" w:hAnsi="黑体" w:cs="黑体"/>
      </w:rPr>
    </w:pPr>
    <w:r>
      <w:rPr>
        <w:rFonts w:ascii="黑体" w:eastAsia="黑体" w:hAnsi="黑体" w:cs="黑体"/>
        <w:noProof/>
        <w:lang w:val="en-US" w:bidi="ar-SA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5" name="Text Box 10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  <w:rPr>
                              <w:rFonts w:ascii="黑体" w:eastAsia="黑体" w:hAnsi="黑体" w:cs="黑体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fldChar w:fldCharType="separate"/>
                          </w:r>
                          <w:r w:rsidR="005B70AB">
                            <w:rPr>
                              <w:rFonts w:ascii="黑体" w:eastAsia="黑体" w:hAnsi="黑体" w:cs="黑体"/>
                              <w:noProof/>
                            </w:rPr>
                            <w:t>- 3 -</w: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1" o:spid="_x0000_s1027" type="#_x0000_t202" style="position:absolute;left:0;text-align:left;margin-left:0;margin-top:0;width:22.55pt;height:11.65pt;z-index: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  <w:rPr>
                        <w:rFonts w:ascii="黑体" w:eastAsia="黑体" w:hAnsi="黑体" w:cs="黑体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</w:rPr>
                      <w:fldChar w:fldCharType="separate"/>
                    </w:r>
                    <w:r w:rsidR="005B70AB">
                      <w:rPr>
                        <w:rFonts w:ascii="黑体" w:eastAsia="黑体" w:hAnsi="黑体" w:cs="黑体"/>
                        <w:noProof/>
                      </w:rPr>
                      <w:t>- 3 -</w:t>
                    </w:r>
                    <w:r>
                      <w:rPr>
                        <w:rFonts w:ascii="黑体" w:eastAsia="黑体" w:hAnsi="黑体" w:cs="黑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99390"/>
              <wp:effectExtent l="0" t="0" r="0" b="0"/>
              <wp:wrapNone/>
              <wp:docPr id="14" name="Text Box 10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9" o:spid="_x0000_s1028" type="#_x0000_t202" style="position:absolute;left:0;text-align:left;margin-left:0;margin-top:0;width:16.05pt;height:15.7pt;z-index:25165312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99390"/>
              <wp:effectExtent l="0" t="0" r="0" b="0"/>
              <wp:wrapNone/>
              <wp:docPr id="13" name="Text Box 10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0" o:spid="_x0000_s1029" type="#_x0000_t202" style="position:absolute;left:0;text-align:left;margin-left:0;margin-top:0;width:16.05pt;height:15.7pt;z-index:25165414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99390"/>
              <wp:effectExtent l="0" t="0" r="0" b="0"/>
              <wp:wrapNone/>
              <wp:docPr id="12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30" type="#_x0000_t202" style="position:absolute;left:0;text-align:left;margin-left:0;margin-top:0;width:16.05pt;height:15.7pt;z-index: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sksQIAALE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99390"/>
              <wp:effectExtent l="0" t="0" r="0" b="0"/>
              <wp:wrapNone/>
              <wp:docPr id="1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31" type="#_x0000_t202" style="position:absolute;left:0;text-align:left;margin-left:0;margin-top:0;width:16.05pt;height:15.7pt;z-index:25165619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7335" cy="199390"/>
              <wp:effectExtent l="0" t="0" r="0" b="0"/>
              <wp:wrapNone/>
              <wp:docPr id="10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32" type="#_x0000_t202" style="position:absolute;left:0;text-align:left;margin-left:0;margin-top:0;width:21.05pt;height:15.7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7335" cy="199390"/>
              <wp:effectExtent l="0" t="0" r="0" b="0"/>
              <wp:wrapNone/>
              <wp:docPr id="9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- 11 -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33" type="#_x0000_t202" style="position:absolute;left:0;text-align:left;margin-left:0;margin-top:0;width:21.05pt;height:15.7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TEsgIAALA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- 11 -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5B70AB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7335" cy="199390"/>
              <wp:effectExtent l="0" t="0" r="0" b="0"/>
              <wp:wrapNone/>
              <wp:docPr id="8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11" w:rsidRDefault="00FE76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0AB">
                            <w:rPr>
                              <w:noProof/>
                            </w:rP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1" o:spid="_x0000_s1034" type="#_x0000_t202" style="position:absolute;left:0;text-align:left;margin-left:0;margin-top:0;width:21.05pt;height:15.7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" filled="f" stroked="f">
              <v:textbox style="mso-fit-shape-to-text:t" inset="0,0,0,0">
                <w:txbxContent>
                  <w:p w:rsidR="00070F11" w:rsidRDefault="00FE76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0AB">
                      <w:rPr>
                        <w:noProof/>
                      </w:rP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A6" w:rsidRDefault="00FE76A6">
      <w:r>
        <w:separator/>
      </w:r>
    </w:p>
  </w:footnote>
  <w:footnote w:type="continuationSeparator" w:id="0">
    <w:p w:rsidR="00FE76A6" w:rsidRDefault="00FE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FE76A6">
    <w:pPr>
      <w:pStyle w:val="a6"/>
      <w:pBdr>
        <w:bottom w:val="single" w:sz="4" w:space="1" w:color="000000"/>
      </w:pBdr>
      <w:jc w:val="both"/>
      <w:rPr>
        <w:lang w:val="en-US"/>
      </w:rPr>
    </w:pPr>
    <w:r>
      <w:rPr>
        <w:rFonts w:hint="eastAsia"/>
        <w:lang w:val="en-US"/>
      </w:rPr>
      <w:t>南通市体育彩票管理中心</w:t>
    </w:r>
    <w:r>
      <w:t>2024</w:t>
    </w:r>
    <w:r>
      <w:t>年度单位预算公开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11" w:rsidRDefault="00070F11">
    <w:pPr>
      <w:pStyle w:val="a6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WYwNGFmYzNiMTMwMzI4MzFhMzI2ZWRjOTFjMmMifQ=="/>
  </w:docVars>
  <w:rsids>
    <w:rsidRoot w:val="00070F11"/>
    <w:rsid w:val="DBEED555"/>
    <w:rsid w:val="00064984"/>
    <w:rsid w:val="00070F11"/>
    <w:rsid w:val="00071288"/>
    <w:rsid w:val="00071789"/>
    <w:rsid w:val="000F12AB"/>
    <w:rsid w:val="001C31F9"/>
    <w:rsid w:val="00407CA7"/>
    <w:rsid w:val="00413AD8"/>
    <w:rsid w:val="005B70AB"/>
    <w:rsid w:val="00671ED7"/>
    <w:rsid w:val="00672164"/>
    <w:rsid w:val="00867423"/>
    <w:rsid w:val="008B5B05"/>
    <w:rsid w:val="00925913"/>
    <w:rsid w:val="009965EA"/>
    <w:rsid w:val="00A61D7A"/>
    <w:rsid w:val="00A6752E"/>
    <w:rsid w:val="00BD7F33"/>
    <w:rsid w:val="00C15920"/>
    <w:rsid w:val="00C35C3A"/>
    <w:rsid w:val="00C82582"/>
    <w:rsid w:val="00F12F06"/>
    <w:rsid w:val="00FA3233"/>
    <w:rsid w:val="00FE76A6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uiPriority w:val="1"/>
    <w:qFormat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uiPriority w:val="1"/>
    <w:qFormat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uiPriority w:val="1"/>
    <w:qFormat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</w:style>
  <w:style w:type="character" w:customStyle="1" w:styleId="aa">
    <w:name w:val="页眉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ae">
    <w:name w:val="页眉与页脚"/>
    <w:basedOn w:val="a"/>
    <w:qFormat/>
  </w:style>
  <w:style w:type="paragraph" w:customStyle="1" w:styleId="10">
    <w:name w:val="列出段落1"/>
    <w:basedOn w:val="a"/>
    <w:uiPriority w:val="1"/>
    <w:qFormat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customStyle="1" w:styleId="af">
    <w:name w:val="表格内容"/>
    <w:basedOn w:val="a"/>
    <w:qFormat/>
    <w:pPr>
      <w:suppressLineNumbers/>
    </w:pPr>
  </w:style>
  <w:style w:type="paragraph" w:customStyle="1" w:styleId="af0">
    <w:name w:val="表格标题"/>
    <w:basedOn w:val="af"/>
    <w:qFormat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uiPriority w:val="1"/>
    <w:qFormat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uiPriority w:val="1"/>
    <w:qFormat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uiPriority w:val="1"/>
    <w:qFormat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</w:style>
  <w:style w:type="character" w:customStyle="1" w:styleId="aa">
    <w:name w:val="页眉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ae">
    <w:name w:val="页眉与页脚"/>
    <w:basedOn w:val="a"/>
    <w:qFormat/>
  </w:style>
  <w:style w:type="paragraph" w:customStyle="1" w:styleId="10">
    <w:name w:val="列出段落1"/>
    <w:basedOn w:val="a"/>
    <w:uiPriority w:val="1"/>
    <w:qFormat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customStyle="1" w:styleId="af">
    <w:name w:val="表格内容"/>
    <w:basedOn w:val="a"/>
    <w:qFormat/>
    <w:pPr>
      <w:suppressLineNumbers/>
    </w:pPr>
  </w:style>
  <w:style w:type="paragraph" w:customStyle="1" w:styleId="af0">
    <w:name w:val="表格标题"/>
    <w:basedOn w:val="af"/>
    <w:qFormat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 textRotate="1"/>
    <customShpInfo spid="_x0000_s4113" textRotate="1"/>
    <customShpInfo spid="_x0000_s4111" textRotate="1"/>
    <customShpInfo spid="_x0000_s4112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  <customShpInfo spid="_x0000_s4106" textRotate="1"/>
    <customShpInfo spid="_x0000_s4107" textRotate="1"/>
    <customShpInfo spid="_x0000_s4108" textRotate="1"/>
    <customShpInfo spid="_x0000_s411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cp:lastModifiedBy>HUAWEI</cp:lastModifiedBy>
  <cp:revision>2</cp:revision>
  <dcterms:created xsi:type="dcterms:W3CDTF">2024-02-26T01:24:00Z</dcterms:created>
  <dcterms:modified xsi:type="dcterms:W3CDTF">2024-02-26T01:24:00Z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2052-12.1.0.15066</vt:lpwstr>
  </property>
  <property fmtid="{D5CDD505-2E9C-101B-9397-08002B2CF9AE}" pid="6" name="LastSaved">
    <vt:filetime>2021-04-15T00:00:00Z</vt:filetime>
  </property>
</Properties>
</file>