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sz w:val="44"/>
          <w:szCs w:val="44"/>
        </w:rPr>
      </w:pPr>
      <w:bookmarkStart w:id="7" w:name="_GoBack"/>
      <w:bookmarkEnd w:id="7"/>
      <w:r>
        <w:rPr>
          <w:rFonts w:hint="eastAsia" w:ascii="宋体" w:hAnsi="宋体" w:cs="宋体"/>
          <w:sz w:val="44"/>
          <w:szCs w:val="44"/>
        </w:rPr>
        <w:tab/>
      </w:r>
    </w:p>
    <w:p>
      <w:pPr>
        <w:jc w:val="center"/>
        <w:rPr>
          <w:rFonts w:ascii="宋体" w:hAnsi="宋体" w:cs="宋体"/>
          <w:sz w:val="44"/>
          <w:szCs w:val="44"/>
        </w:rPr>
      </w:pPr>
      <w:r>
        <w:rPr>
          <w:rFonts w:hint="eastAsia" w:ascii="宋体" w:hAnsi="宋体" w:cs="宋体"/>
          <w:sz w:val="44"/>
          <w:szCs w:val="44"/>
        </w:rPr>
        <w:t>2019年南通市青少年体育比赛游泳比赛赛事承办项目</w:t>
      </w:r>
    </w:p>
    <w:p>
      <w:pPr>
        <w:spacing w:line="1400" w:lineRule="exact"/>
        <w:jc w:val="center"/>
        <w:rPr>
          <w:rFonts w:ascii="宋体" w:hAnsi="宋体" w:cs="宋体"/>
          <w:b/>
          <w:sz w:val="72"/>
          <w:szCs w:val="72"/>
        </w:rPr>
      </w:pPr>
    </w:p>
    <w:p>
      <w:pPr>
        <w:spacing w:line="1400" w:lineRule="exact"/>
        <w:jc w:val="center"/>
        <w:rPr>
          <w:rFonts w:ascii="宋体" w:hAnsi="宋体" w:cs="宋体"/>
          <w:b/>
          <w:sz w:val="72"/>
          <w:szCs w:val="72"/>
        </w:rPr>
      </w:pPr>
      <w:r>
        <w:rPr>
          <w:rFonts w:hint="eastAsia" w:ascii="宋体" w:hAnsi="宋体" w:cs="宋体"/>
          <w:b/>
          <w:sz w:val="72"/>
          <w:szCs w:val="72"/>
        </w:rPr>
        <w:t>竞争性磋商文件</w:t>
      </w:r>
    </w:p>
    <w:p>
      <w:pPr>
        <w:spacing w:line="720" w:lineRule="auto"/>
        <w:jc w:val="center"/>
        <w:rPr>
          <w:rFonts w:ascii="宋体" w:hAnsi="宋体" w:cs="宋体"/>
          <w:b/>
          <w:sz w:val="44"/>
          <w:szCs w:val="44"/>
        </w:rPr>
      </w:pPr>
      <w:r>
        <w:rPr>
          <w:rFonts w:hint="eastAsia" w:ascii="宋体" w:hAnsi="宋体" w:cs="宋体"/>
          <w:b/>
          <w:sz w:val="44"/>
          <w:szCs w:val="44"/>
        </w:rPr>
        <w:t>（资格后审）</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rPr>
          <w:rFonts w:ascii="宋体" w:hAnsi="宋体" w:cs="宋体"/>
          <w:b/>
          <w:sz w:val="36"/>
        </w:rPr>
      </w:pPr>
    </w:p>
    <w:p>
      <w:pPr>
        <w:ind w:firstLine="1807" w:firstLineChars="500"/>
        <w:rPr>
          <w:rFonts w:ascii="宋体" w:hAnsi="宋体" w:cs="宋体"/>
          <w:b/>
          <w:sz w:val="36"/>
          <w:szCs w:val="36"/>
        </w:rPr>
      </w:pPr>
      <w:r>
        <w:rPr>
          <w:rFonts w:hint="eastAsia" w:ascii="宋体" w:hAnsi="宋体" w:cs="宋体"/>
          <w:b/>
          <w:sz w:val="36"/>
          <w:szCs w:val="36"/>
        </w:rPr>
        <w:t>采购单位：南通市体育局</w:t>
      </w:r>
    </w:p>
    <w:p>
      <w:pPr>
        <w:ind w:firstLine="1807" w:firstLineChars="500"/>
        <w:rPr>
          <w:rFonts w:ascii="宋体" w:hAnsi="宋体" w:cs="宋体"/>
          <w:b/>
          <w:sz w:val="36"/>
          <w:szCs w:val="36"/>
        </w:rPr>
      </w:pPr>
    </w:p>
    <w:p>
      <w:pPr>
        <w:ind w:firstLine="1807" w:firstLineChars="500"/>
        <w:rPr>
          <w:rFonts w:ascii="宋体" w:hAnsi="宋体" w:cs="宋体"/>
          <w:b/>
          <w:sz w:val="36"/>
          <w:szCs w:val="36"/>
        </w:rPr>
      </w:pPr>
      <w:r>
        <w:rPr>
          <w:rFonts w:hint="eastAsia" w:ascii="宋体" w:hAnsi="宋体" w:cs="宋体"/>
          <w:b/>
          <w:sz w:val="36"/>
          <w:szCs w:val="36"/>
        </w:rPr>
        <w:t>代理机构：江苏宏信工程咨询有限公司</w:t>
      </w:r>
    </w:p>
    <w:p>
      <w:pPr>
        <w:jc w:val="center"/>
        <w:rPr>
          <w:rFonts w:ascii="宋体" w:hAnsi="宋体" w:cs="宋体"/>
          <w:b/>
          <w:sz w:val="44"/>
          <w:szCs w:val="44"/>
        </w:rPr>
      </w:pPr>
      <w:r>
        <w:rPr>
          <w:rFonts w:hint="eastAsia" w:ascii="宋体" w:hAnsi="宋体" w:cs="宋体"/>
          <w:b/>
          <w:sz w:val="36"/>
          <w:szCs w:val="36"/>
        </w:rPr>
        <w:t>二O一九年十月</w:t>
      </w:r>
      <w:r>
        <w:rPr>
          <w:rFonts w:hint="eastAsia" w:ascii="宋体" w:hAnsi="宋体" w:cs="宋体"/>
          <w:b/>
          <w:sz w:val="44"/>
          <w:szCs w:val="44"/>
        </w:rPr>
        <w:br w:type="page"/>
      </w:r>
      <w:r>
        <w:rPr>
          <w:rFonts w:hint="eastAsia" w:ascii="宋体" w:hAnsi="宋体" w:cs="宋体"/>
          <w:b/>
          <w:sz w:val="44"/>
          <w:szCs w:val="44"/>
        </w:rPr>
        <w:t xml:space="preserve"> 竞争性磋商文件备案表</w:t>
      </w:r>
    </w:p>
    <w:p>
      <w:pPr>
        <w:jc w:val="center"/>
        <w:rPr>
          <w:rFonts w:ascii="宋体" w:hAnsi="宋体" w:cs="宋体"/>
          <w:b/>
          <w:sz w:val="44"/>
          <w:szCs w:val="44"/>
        </w:rPr>
      </w:pPr>
    </w:p>
    <w:tbl>
      <w:tblPr>
        <w:tblStyle w:val="22"/>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9" w:hRule="atLeast"/>
          <w:jc w:val="center"/>
        </w:trPr>
        <w:tc>
          <w:tcPr>
            <w:tcW w:w="9240" w:type="dxa"/>
          </w:tcPr>
          <w:p>
            <w:pPr>
              <w:spacing w:line="360" w:lineRule="auto"/>
              <w:jc w:val="center"/>
              <w:rPr>
                <w:rFonts w:ascii="宋体" w:hAnsi="宋体" w:cs="宋体"/>
                <w:position w:val="-48"/>
                <w:sz w:val="25"/>
              </w:rPr>
            </w:pPr>
          </w:p>
          <w:p>
            <w:pPr>
              <w:spacing w:line="360" w:lineRule="auto"/>
              <w:jc w:val="center"/>
              <w:rPr>
                <w:rFonts w:ascii="宋体" w:hAnsi="宋体" w:cs="宋体"/>
                <w:position w:val="-48"/>
                <w:sz w:val="25"/>
              </w:rPr>
            </w:pPr>
          </w:p>
          <w:p>
            <w:pPr>
              <w:spacing w:line="360" w:lineRule="auto"/>
              <w:ind w:firstLine="3000" w:firstLineChars="1200"/>
              <w:rPr>
                <w:rFonts w:ascii="宋体" w:hAnsi="宋体" w:cs="宋体"/>
                <w:position w:val="-48"/>
                <w:sz w:val="25"/>
              </w:rPr>
            </w:pPr>
            <w:r>
              <w:rPr>
                <w:rFonts w:hint="eastAsia" w:ascii="宋体" w:hAnsi="宋体" w:cs="宋体"/>
                <w:position w:val="-48"/>
                <w:sz w:val="25"/>
              </w:rPr>
              <w:t>编制人：薛康栖</w:t>
            </w:r>
          </w:p>
          <w:p>
            <w:pPr>
              <w:tabs>
                <w:tab w:val="left" w:pos="3492"/>
              </w:tabs>
              <w:spacing w:line="360" w:lineRule="auto"/>
              <w:ind w:firstLine="3000" w:firstLineChars="1200"/>
              <w:rPr>
                <w:rFonts w:ascii="宋体" w:hAnsi="宋体" w:cs="宋体"/>
                <w:position w:val="-48"/>
                <w:sz w:val="25"/>
              </w:rPr>
            </w:pPr>
            <w:r>
              <w:rPr>
                <w:rFonts w:hint="eastAsia" w:ascii="宋体" w:hAnsi="宋体" w:cs="宋体"/>
                <w:position w:val="-48"/>
                <w:sz w:val="25"/>
              </w:rPr>
              <w:t>日  期：2019年10月</w:t>
            </w:r>
            <w:r>
              <w:rPr>
                <w:rFonts w:hint="eastAsia" w:ascii="宋体" w:hAnsi="宋体" w:cs="宋体"/>
                <w:position w:val="-48"/>
                <w:sz w:val="25"/>
                <w:lang w:val="en-US" w:eastAsia="zh-CN"/>
              </w:rPr>
              <w:t>11</w:t>
            </w:r>
            <w:r>
              <w:rPr>
                <w:rFonts w:hint="eastAsia" w:ascii="宋体" w:hAnsi="宋体" w:cs="宋体"/>
                <w:position w:val="-48"/>
                <w:sz w:val="2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8" w:hRule="atLeast"/>
          <w:jc w:val="center"/>
        </w:trPr>
        <w:tc>
          <w:tcPr>
            <w:tcW w:w="9240" w:type="dxa"/>
          </w:tcPr>
          <w:p>
            <w:pPr>
              <w:spacing w:line="360" w:lineRule="auto"/>
              <w:rPr>
                <w:rFonts w:ascii="宋体" w:hAnsi="宋体" w:cs="宋体"/>
                <w:position w:val="-48"/>
                <w:sz w:val="25"/>
              </w:rPr>
            </w:pPr>
          </w:p>
          <w:p>
            <w:pPr>
              <w:spacing w:line="360" w:lineRule="auto"/>
              <w:ind w:firstLine="625" w:firstLineChars="250"/>
              <w:jc w:val="center"/>
              <w:rPr>
                <w:rFonts w:ascii="宋体" w:hAnsi="宋体" w:cs="宋体"/>
                <w:position w:val="-48"/>
                <w:sz w:val="25"/>
              </w:rPr>
            </w:pPr>
          </w:p>
          <w:p>
            <w:pPr>
              <w:spacing w:line="360" w:lineRule="auto"/>
              <w:ind w:firstLine="625" w:firstLineChars="250"/>
              <w:jc w:val="center"/>
              <w:rPr>
                <w:rFonts w:ascii="宋体" w:hAnsi="宋体" w:cs="宋体"/>
                <w:position w:val="-48"/>
                <w:sz w:val="25"/>
              </w:rPr>
            </w:pPr>
          </w:p>
          <w:p>
            <w:pPr>
              <w:spacing w:line="360" w:lineRule="auto"/>
              <w:ind w:firstLine="625" w:firstLineChars="250"/>
              <w:jc w:val="center"/>
              <w:rPr>
                <w:rFonts w:ascii="宋体" w:hAnsi="宋体" w:cs="宋体"/>
                <w:position w:val="-48"/>
                <w:sz w:val="25"/>
              </w:rPr>
            </w:pPr>
            <w:r>
              <w:rPr>
                <w:rFonts w:hint="eastAsia" w:ascii="宋体" w:hAnsi="宋体" w:cs="宋体"/>
                <w:position w:val="-48"/>
                <w:sz w:val="25"/>
              </w:rPr>
              <w:t>采购单位（盖章）             法定代表人（签字或盖章）</w:t>
            </w:r>
          </w:p>
          <w:p>
            <w:pPr>
              <w:spacing w:line="360" w:lineRule="auto"/>
              <w:rPr>
                <w:rFonts w:ascii="宋体" w:hAnsi="宋体" w:cs="宋体"/>
                <w:position w:val="-48"/>
                <w:sz w:val="25"/>
              </w:rPr>
            </w:pPr>
          </w:p>
          <w:p>
            <w:pPr>
              <w:spacing w:line="360" w:lineRule="auto"/>
              <w:jc w:val="center"/>
              <w:rPr>
                <w:rFonts w:ascii="宋体" w:hAnsi="宋体" w:cs="宋体"/>
                <w:position w:val="-48"/>
                <w:sz w:val="25"/>
              </w:rPr>
            </w:pPr>
            <w:r>
              <w:rPr>
                <w:rFonts w:hint="eastAsia" w:ascii="宋体" w:hAnsi="宋体" w:cs="宋体"/>
                <w:position w:val="-48"/>
                <w:sz w:val="25"/>
              </w:rPr>
              <w:t xml:space="preserve">   代理机构（盖章）            法定代表人（签字或盖章）</w:t>
            </w:r>
          </w:p>
          <w:p>
            <w:pPr>
              <w:spacing w:line="360" w:lineRule="auto"/>
              <w:rPr>
                <w:rFonts w:ascii="宋体" w:hAnsi="宋体" w:cs="宋体"/>
                <w:position w:val="-48"/>
                <w:sz w:val="25"/>
              </w:rPr>
            </w:pPr>
          </w:p>
          <w:p>
            <w:pPr>
              <w:spacing w:line="360" w:lineRule="auto"/>
              <w:jc w:val="center"/>
              <w:rPr>
                <w:rFonts w:ascii="宋体" w:hAnsi="宋体" w:cs="宋体"/>
                <w:position w:val="-48"/>
                <w:sz w:val="25"/>
              </w:rPr>
            </w:pPr>
            <w:r>
              <w:rPr>
                <w:rFonts w:hint="eastAsia" w:ascii="宋体" w:hAnsi="宋体" w:cs="宋体"/>
                <w:position w:val="-48"/>
                <w:sz w:val="25"/>
              </w:rPr>
              <w:t>日  期：2019年10月</w:t>
            </w:r>
            <w:r>
              <w:rPr>
                <w:rFonts w:hint="eastAsia" w:ascii="宋体" w:hAnsi="宋体" w:cs="宋体"/>
                <w:position w:val="-48"/>
                <w:sz w:val="25"/>
                <w:lang w:val="en-US" w:eastAsia="zh-CN"/>
              </w:rPr>
              <w:t>11</w:t>
            </w:r>
            <w:r>
              <w:rPr>
                <w:rFonts w:hint="eastAsia" w:ascii="宋体" w:hAnsi="宋体" w:cs="宋体"/>
                <w:position w:val="-48"/>
                <w:sz w:val="25"/>
              </w:rPr>
              <w:t>日</w:t>
            </w:r>
          </w:p>
        </w:tc>
      </w:tr>
    </w:tbl>
    <w:p>
      <w:pPr>
        <w:pStyle w:val="6"/>
        <w:overflowPunct w:val="0"/>
        <w:ind w:firstLine="0"/>
        <w:jc w:val="both"/>
        <w:rPr>
          <w:rFonts w:ascii="宋体" w:hAnsi="宋体" w:eastAsia="宋体" w:cs="宋体"/>
          <w:b/>
          <w:sz w:val="44"/>
          <w:szCs w:val="44"/>
        </w:rPr>
      </w:pPr>
    </w:p>
    <w:p>
      <w:pPr>
        <w:pStyle w:val="6"/>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6"/>
        <w:overflowPunct w:val="0"/>
        <w:ind w:firstLine="0"/>
        <w:jc w:val="center"/>
        <w:rPr>
          <w:rFonts w:ascii="宋体" w:hAnsi="宋体" w:eastAsia="宋体" w:cs="宋体"/>
          <w:sz w:val="30"/>
        </w:rPr>
      </w:pPr>
    </w:p>
    <w:p>
      <w:pPr>
        <w:pStyle w:val="16"/>
        <w:tabs>
          <w:tab w:val="right" w:leader="dot" w:pos="9528"/>
        </w:tabs>
        <w:spacing w:line="12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竞争性磋商公告</w:t>
      </w:r>
    </w:p>
    <w:p>
      <w:pPr>
        <w:pStyle w:val="16"/>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第二章 投标供应商须知</w:t>
      </w:r>
    </w:p>
    <w:p>
      <w:pPr>
        <w:pStyle w:val="16"/>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第三章 项目需求</w:t>
      </w:r>
    </w:p>
    <w:p>
      <w:pPr>
        <w:pStyle w:val="16"/>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第四章 评审方法和程序</w:t>
      </w:r>
    </w:p>
    <w:p>
      <w:pPr>
        <w:pStyle w:val="16"/>
        <w:tabs>
          <w:tab w:val="right" w:leader="dot" w:pos="9528"/>
        </w:tabs>
        <w:spacing w:line="1200" w:lineRule="exact"/>
        <w:rPr>
          <w:rFonts w:ascii="宋体" w:hAnsi="宋体" w:eastAsia="宋体" w:cs="宋体"/>
          <w:sz w:val="32"/>
          <w:szCs w:val="32"/>
        </w:rPr>
      </w:pPr>
      <w:r>
        <w:rPr>
          <w:rFonts w:hint="eastAsia" w:ascii="宋体" w:hAnsi="宋体" w:eastAsia="宋体" w:cs="宋体"/>
          <w:sz w:val="32"/>
          <w:szCs w:val="32"/>
        </w:rPr>
        <w:t>第五章 合同授予</w:t>
      </w:r>
    </w:p>
    <w:p>
      <w:pPr>
        <w:spacing w:line="1200" w:lineRule="exact"/>
        <w:rPr>
          <w:rFonts w:ascii="宋体" w:hAnsi="宋体" w:cs="宋体"/>
          <w:sz w:val="32"/>
          <w:szCs w:val="32"/>
        </w:rPr>
      </w:pPr>
      <w:r>
        <w:rPr>
          <w:rFonts w:hint="eastAsia" w:ascii="宋体" w:hAnsi="宋体" w:cs="宋体"/>
          <w:sz w:val="32"/>
          <w:szCs w:val="32"/>
        </w:rPr>
        <w:t>第六章 质疑提出和处理</w:t>
      </w:r>
    </w:p>
    <w:p>
      <w:pPr>
        <w:spacing w:line="1200" w:lineRule="exact"/>
        <w:rPr>
          <w:rFonts w:ascii="宋体" w:hAnsi="宋体" w:cs="宋体"/>
          <w:sz w:val="36"/>
          <w:szCs w:val="36"/>
        </w:rPr>
      </w:pPr>
      <w:r>
        <w:rPr>
          <w:rFonts w:hint="eastAsia" w:ascii="宋体" w:hAnsi="宋体" w:cs="宋体"/>
          <w:sz w:val="32"/>
          <w:szCs w:val="32"/>
        </w:rPr>
        <w:t>第七章 响应文件组成及格式</w:t>
      </w: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rPr>
          <w:rFonts w:ascii="宋体" w:hAnsi="宋体" w:cs="宋体"/>
          <w:b/>
          <w:bCs/>
          <w:sz w:val="36"/>
          <w:szCs w:val="36"/>
        </w:rPr>
      </w:pPr>
    </w:p>
    <w:p>
      <w:pPr>
        <w:rPr>
          <w:rFonts w:ascii="宋体" w:hAnsi="宋体" w:cs="宋体"/>
          <w:b/>
          <w:bCs/>
          <w:sz w:val="36"/>
          <w:szCs w:val="36"/>
        </w:rPr>
      </w:pPr>
    </w:p>
    <w:p>
      <w:pPr>
        <w:snapToGrid w:val="0"/>
        <w:spacing w:line="360" w:lineRule="auto"/>
        <w:rPr>
          <w:rFonts w:ascii="宋体" w:hAnsi="宋体" w:cs="宋体"/>
          <w:b/>
          <w:szCs w:val="21"/>
        </w:rPr>
      </w:pPr>
      <w:r>
        <w:rPr>
          <w:rFonts w:hint="eastAsia" w:ascii="宋体" w:hAnsi="宋体" w:cs="宋体"/>
          <w:w w:val="80"/>
          <w:szCs w:val="44"/>
        </w:rPr>
        <w:br w:type="page"/>
      </w:r>
      <w:r>
        <w:rPr>
          <w:rFonts w:hint="eastAsia" w:ascii="宋体" w:hAnsi="宋体" w:cs="宋体"/>
          <w:b/>
          <w:szCs w:val="21"/>
        </w:rPr>
        <w:t>尊敬的投标供应商：</w:t>
      </w:r>
    </w:p>
    <w:p>
      <w:pPr>
        <w:pStyle w:val="2"/>
        <w:keepNext w:val="0"/>
        <w:keepLines w:val="0"/>
        <w:adjustRightInd w:val="0"/>
        <w:snapToGrid w:val="0"/>
        <w:spacing w:before="0" w:after="0" w:line="360" w:lineRule="auto"/>
        <w:jc w:val="left"/>
        <w:textAlignment w:val="baseline"/>
        <w:rPr>
          <w:rFonts w:ascii="宋体" w:hAnsi="宋体" w:eastAsia="宋体" w:cs="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2"/>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第一章  竞争性磋商公告</w:t>
      </w:r>
    </w:p>
    <w:p>
      <w:pPr>
        <w:spacing w:line="360" w:lineRule="auto"/>
        <w:ind w:firstLine="480" w:firstLineChars="200"/>
        <w:rPr>
          <w:rFonts w:ascii="宋体" w:hAnsi="宋体" w:cs="宋体"/>
          <w:sz w:val="24"/>
          <w:szCs w:val="24"/>
        </w:rPr>
      </w:pPr>
      <w:r>
        <w:rPr>
          <w:rFonts w:hint="eastAsia" w:ascii="宋体" w:hAnsi="宋体" w:cs="宋体"/>
          <w:sz w:val="24"/>
          <w:szCs w:val="24"/>
        </w:rPr>
        <w:t>江苏宏信工程咨询有限公司（以下简称代理机构）受南通市体育局（以下简称采购单位）的委托，对2019年南通市青少年体育比赛游泳比赛赛事承办项目组织竞争性磋商采购，诚邀符合条件的潜在供应商参加该项目的竞争性磋商。</w:t>
      </w:r>
    </w:p>
    <w:p>
      <w:pPr>
        <w:spacing w:line="360" w:lineRule="auto"/>
        <w:ind w:firstLine="480" w:firstLineChars="200"/>
        <w:rPr>
          <w:rFonts w:ascii="宋体" w:hAnsi="宋体" w:cs="宋体"/>
          <w:sz w:val="24"/>
          <w:szCs w:val="24"/>
        </w:rPr>
      </w:pPr>
      <w:r>
        <w:rPr>
          <w:rFonts w:hint="eastAsia" w:ascii="宋体" w:hAnsi="宋体" w:cs="宋体"/>
          <w:sz w:val="24"/>
          <w:szCs w:val="24"/>
        </w:rPr>
        <w:t>一、项目名称：2019年南通市青少年体育比赛游泳比赛赛事承办项目</w:t>
      </w:r>
    </w:p>
    <w:p>
      <w:pPr>
        <w:spacing w:line="360" w:lineRule="auto"/>
        <w:ind w:firstLine="480" w:firstLineChars="200"/>
        <w:rPr>
          <w:rFonts w:ascii="宋体" w:hAnsi="宋体" w:cs="宋体"/>
          <w:sz w:val="24"/>
          <w:szCs w:val="24"/>
        </w:rPr>
      </w:pPr>
      <w:r>
        <w:rPr>
          <w:rFonts w:hint="eastAsia" w:ascii="宋体" w:hAnsi="宋体" w:cs="宋体"/>
          <w:sz w:val="24"/>
          <w:szCs w:val="24"/>
        </w:rPr>
        <w:t>二、最高限价：5万元</w:t>
      </w:r>
    </w:p>
    <w:p>
      <w:pPr>
        <w:spacing w:line="360" w:lineRule="auto"/>
        <w:ind w:firstLine="480" w:firstLineChars="200"/>
        <w:rPr>
          <w:rFonts w:ascii="宋体" w:hAnsi="宋体" w:cs="宋体"/>
          <w:sz w:val="24"/>
          <w:szCs w:val="24"/>
        </w:rPr>
      </w:pPr>
      <w:r>
        <w:rPr>
          <w:rFonts w:hint="eastAsia" w:ascii="宋体" w:hAnsi="宋体" w:cs="宋体"/>
          <w:sz w:val="24"/>
          <w:szCs w:val="24"/>
        </w:rPr>
        <w:t>三、项目需求：详见第三章</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四、竞磋供应商资格要求 </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1、符合《中华人民共和国政府采购法》第二十二条之规定：具有独立承担民事责任的能力；具有履行合同所必需的设备和专业技术能力；具有依法缴纳税收和社会保障资金的良好记录；参加政府采购活动前三年内，在经营活动中没有重大违法记录。</w:t>
      </w:r>
    </w:p>
    <w:p>
      <w:pPr>
        <w:widowControl/>
        <w:snapToGrid w:val="0"/>
        <w:spacing w:line="360" w:lineRule="auto"/>
        <w:ind w:firstLine="470" w:firstLineChars="196"/>
        <w:jc w:val="left"/>
        <w:rPr>
          <w:rFonts w:ascii="宋体" w:hAnsi="宋体" w:cs="宋体"/>
          <w:color w:val="000000"/>
          <w:sz w:val="24"/>
          <w:szCs w:val="24"/>
        </w:rPr>
      </w:pPr>
      <w:r>
        <w:rPr>
          <w:rFonts w:hint="eastAsia" w:ascii="宋体" w:hAnsi="宋体" w:cs="宋体"/>
          <w:color w:val="000000"/>
          <w:sz w:val="24"/>
          <w:szCs w:val="24"/>
        </w:rPr>
        <w:t>2、法定代表人为同一个人的两个及两个以上法人，母公司、全资子公司及其控股公司，都不得在同一采购项目相同标段中同时参加投标，一经发现，将视同围标处理。</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3、供应商必须是有能力按本招标文件规定的要求提供招标物并具有企业法人营业执照及税务登记证，或者是三证合一的营业执照或社会团体法人登记证书或民办非企业单位登记证书。</w:t>
      </w:r>
    </w:p>
    <w:p>
      <w:pPr>
        <w:widowControl/>
        <w:snapToGrid w:val="0"/>
        <w:spacing w:line="360" w:lineRule="auto"/>
        <w:ind w:firstLine="470" w:firstLineChars="196"/>
        <w:jc w:val="left"/>
        <w:rPr>
          <w:rFonts w:ascii="宋体" w:hAnsi="宋体" w:cs="宋体"/>
          <w:sz w:val="24"/>
          <w:szCs w:val="24"/>
        </w:rPr>
      </w:pPr>
      <w:r>
        <w:rPr>
          <w:rFonts w:hint="eastAsia" w:ascii="宋体" w:hAnsi="宋体" w:cs="宋体"/>
          <w:sz w:val="24"/>
          <w:szCs w:val="24"/>
        </w:rPr>
        <w:t>4、具有组织体育赛事的经验，提供2016年1月1日至今，与本项目相似的赛事组织案例(合同或证明材料复印件加盖公章，并带原件备查)。</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5、本项目不接受联合体投标。</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rPr>
        <w:t>六、本项目采用资格后审，取消报名环节，竞争性磋商采购文件请在南通市公共资源交易网-交易信息栏中下载。</w:t>
      </w:r>
    </w:p>
    <w:p>
      <w:pPr>
        <w:snapToGrid w:val="0"/>
        <w:spacing w:line="360" w:lineRule="auto"/>
        <w:ind w:firstLine="480" w:firstLineChars="200"/>
        <w:outlineLvl w:val="1"/>
        <w:rPr>
          <w:rFonts w:ascii="宋体" w:hAnsi="宋体" w:cs="宋体"/>
          <w:bCs/>
          <w:sz w:val="24"/>
          <w:szCs w:val="24"/>
        </w:rPr>
      </w:pPr>
      <w:r>
        <w:rPr>
          <w:rFonts w:hint="eastAsia" w:ascii="宋体" w:hAnsi="宋体" w:cs="宋体"/>
          <w:bCs/>
          <w:sz w:val="24"/>
          <w:szCs w:val="24"/>
        </w:rPr>
        <w:t>七、</w:t>
      </w:r>
      <w:r>
        <w:rPr>
          <w:rFonts w:hint="eastAsia" w:ascii="宋体" w:hAnsi="宋体" w:cs="宋体"/>
          <w:sz w:val="24"/>
          <w:szCs w:val="24"/>
        </w:rPr>
        <w:t>磋商</w:t>
      </w:r>
      <w:r>
        <w:rPr>
          <w:rFonts w:hint="eastAsia" w:ascii="宋体" w:hAnsi="宋体" w:cs="宋体"/>
          <w:bCs/>
          <w:sz w:val="24"/>
          <w:szCs w:val="24"/>
        </w:rPr>
        <w:t>响应文件接收截止及评审磋商开始时间：</w:t>
      </w:r>
      <w:r>
        <w:rPr>
          <w:rFonts w:hint="eastAsia" w:ascii="宋体" w:hAnsi="宋体" w:cs="宋体"/>
          <w:b/>
          <w:bCs/>
          <w:sz w:val="24"/>
          <w:szCs w:val="24"/>
        </w:rPr>
        <w:t>2019年</w:t>
      </w:r>
      <w:r>
        <w:rPr>
          <w:rFonts w:hint="eastAsia" w:ascii="宋体" w:hAnsi="宋体" w:cs="宋体"/>
          <w:b/>
          <w:bCs/>
          <w:color w:val="C00000"/>
          <w:sz w:val="24"/>
          <w:szCs w:val="24"/>
        </w:rPr>
        <w:t>10月</w:t>
      </w:r>
      <w:r>
        <w:rPr>
          <w:rFonts w:hint="eastAsia" w:ascii="宋体" w:hAnsi="宋体" w:cs="宋体"/>
          <w:b/>
          <w:bCs/>
          <w:color w:val="C00000"/>
          <w:sz w:val="24"/>
          <w:szCs w:val="24"/>
          <w:lang w:val="en-US" w:eastAsia="zh-CN"/>
        </w:rPr>
        <w:t>22</w:t>
      </w:r>
      <w:r>
        <w:rPr>
          <w:rFonts w:hint="eastAsia" w:ascii="宋体" w:hAnsi="宋体" w:cs="宋体"/>
          <w:b/>
          <w:bCs/>
          <w:color w:val="C00000"/>
          <w:sz w:val="24"/>
          <w:szCs w:val="24"/>
        </w:rPr>
        <w:t>日14时00分</w:t>
      </w:r>
      <w:r>
        <w:rPr>
          <w:rFonts w:hint="eastAsia" w:ascii="宋体" w:hAnsi="宋体" w:cs="宋体"/>
          <w:b/>
          <w:bCs/>
          <w:sz w:val="24"/>
          <w:szCs w:val="24"/>
        </w:rPr>
        <w:t>。</w:t>
      </w:r>
    </w:p>
    <w:p>
      <w:pPr>
        <w:snapToGrid w:val="0"/>
        <w:spacing w:line="360" w:lineRule="auto"/>
        <w:ind w:firstLine="480" w:firstLineChars="200"/>
        <w:outlineLvl w:val="1"/>
        <w:rPr>
          <w:rFonts w:ascii="宋体" w:hAnsi="宋体" w:cs="宋体"/>
          <w:bCs/>
          <w:sz w:val="24"/>
          <w:szCs w:val="24"/>
        </w:rPr>
      </w:pPr>
      <w:r>
        <w:rPr>
          <w:rFonts w:hint="eastAsia" w:ascii="宋体" w:hAnsi="宋体" w:cs="宋体"/>
          <w:bCs/>
          <w:sz w:val="24"/>
          <w:szCs w:val="24"/>
        </w:rPr>
        <w:t>八、磋商响应文件递交地址：南通市体育局12楼南会议室（南通市崇文路2号），如有变动另行通知。</w:t>
      </w:r>
    </w:p>
    <w:p>
      <w:pPr>
        <w:spacing w:line="360" w:lineRule="auto"/>
        <w:ind w:firstLine="480" w:firstLineChars="200"/>
        <w:rPr>
          <w:rFonts w:ascii="宋体" w:hAnsi="宋体" w:cs="宋体"/>
          <w:bCs/>
          <w:sz w:val="24"/>
          <w:szCs w:val="24"/>
        </w:rPr>
      </w:pPr>
      <w:r>
        <w:rPr>
          <w:rFonts w:hint="eastAsia" w:ascii="宋体" w:hAnsi="宋体" w:cs="宋体"/>
          <w:bCs/>
          <w:sz w:val="24"/>
          <w:szCs w:val="24"/>
        </w:rPr>
        <w:t>九、磋商保证金</w:t>
      </w:r>
    </w:p>
    <w:p>
      <w:pPr>
        <w:snapToGrid w:val="0"/>
        <w:spacing w:line="360" w:lineRule="auto"/>
        <w:ind w:firstLine="480" w:firstLineChars="200"/>
        <w:outlineLvl w:val="1"/>
        <w:rPr>
          <w:rFonts w:ascii="宋体" w:hAnsi="宋体" w:cs="宋体"/>
          <w:bCs/>
          <w:sz w:val="24"/>
          <w:szCs w:val="24"/>
        </w:rPr>
      </w:pPr>
      <w:r>
        <w:rPr>
          <w:rFonts w:hint="eastAsia" w:ascii="宋体" w:hAnsi="宋体" w:cs="宋体"/>
          <w:bCs/>
          <w:sz w:val="24"/>
          <w:szCs w:val="24"/>
        </w:rPr>
        <w:t>1、本次项目磋商保证金为：人民币壹仟元整（1000元）；</w:t>
      </w:r>
    </w:p>
    <w:p>
      <w:pPr>
        <w:snapToGrid w:val="0"/>
        <w:spacing w:line="360" w:lineRule="auto"/>
        <w:ind w:firstLine="480" w:firstLineChars="200"/>
        <w:outlineLvl w:val="1"/>
        <w:rPr>
          <w:rFonts w:ascii="宋体" w:hAnsi="宋体" w:cs="宋体"/>
          <w:bCs/>
          <w:color w:val="000000"/>
          <w:sz w:val="24"/>
          <w:szCs w:val="24"/>
        </w:rPr>
      </w:pPr>
      <w:r>
        <w:rPr>
          <w:rFonts w:hint="eastAsia" w:ascii="宋体" w:hAnsi="宋体" w:cs="宋体"/>
          <w:bCs/>
          <w:sz w:val="24"/>
          <w:szCs w:val="24"/>
        </w:rPr>
        <w:t>2</w:t>
      </w:r>
      <w:r>
        <w:rPr>
          <w:rFonts w:hint="eastAsia" w:ascii="宋体" w:hAnsi="宋体" w:cs="宋体"/>
          <w:bCs/>
          <w:color w:val="000000"/>
          <w:sz w:val="24"/>
          <w:szCs w:val="24"/>
        </w:rPr>
        <w:t>、</w:t>
      </w:r>
      <w:r>
        <w:rPr>
          <w:rFonts w:hint="eastAsia" w:ascii="宋体" w:hAnsi="宋体" w:cs="宋体"/>
          <w:bCs/>
          <w:sz w:val="24"/>
          <w:szCs w:val="24"/>
        </w:rPr>
        <w:t>磋商</w:t>
      </w:r>
      <w:r>
        <w:rPr>
          <w:rFonts w:hint="eastAsia" w:ascii="宋体" w:hAnsi="宋体" w:cs="宋体"/>
          <w:bCs/>
          <w:color w:val="000000"/>
          <w:sz w:val="24"/>
          <w:szCs w:val="24"/>
        </w:rPr>
        <w:t>保证金必须在递交</w:t>
      </w:r>
      <w:r>
        <w:rPr>
          <w:rFonts w:hint="eastAsia" w:ascii="宋体" w:hAnsi="宋体" w:cs="宋体"/>
          <w:bCs/>
          <w:sz w:val="24"/>
          <w:szCs w:val="24"/>
        </w:rPr>
        <w:t>响应</w:t>
      </w:r>
      <w:r>
        <w:rPr>
          <w:rFonts w:hint="eastAsia" w:ascii="宋体" w:hAnsi="宋体" w:cs="宋体"/>
          <w:bCs/>
          <w:color w:val="000000"/>
          <w:sz w:val="24"/>
          <w:szCs w:val="24"/>
        </w:rPr>
        <w:t>文件时间截止前，以</w:t>
      </w:r>
      <w:r>
        <w:rPr>
          <w:rFonts w:hint="eastAsia" w:ascii="宋体" w:hAnsi="宋体" w:cs="宋体"/>
          <w:b/>
          <w:color w:val="000000"/>
          <w:sz w:val="24"/>
          <w:szCs w:val="24"/>
        </w:rPr>
        <w:t>现金</w:t>
      </w:r>
      <w:r>
        <w:rPr>
          <w:rFonts w:hint="eastAsia" w:ascii="宋体" w:hAnsi="宋体" w:cs="宋体"/>
          <w:bCs/>
          <w:color w:val="000000"/>
          <w:sz w:val="24"/>
          <w:szCs w:val="24"/>
        </w:rPr>
        <w:t>方式与响应文件一起送达</w:t>
      </w:r>
      <w:r>
        <w:rPr>
          <w:rFonts w:hint="eastAsia" w:ascii="宋体" w:hAnsi="宋体" w:cs="宋体"/>
          <w:bCs/>
          <w:sz w:val="24"/>
          <w:szCs w:val="24"/>
        </w:rPr>
        <w:t>响应</w:t>
      </w:r>
      <w:r>
        <w:rPr>
          <w:rFonts w:hint="eastAsia" w:ascii="宋体" w:hAnsi="宋体" w:cs="宋体"/>
          <w:bCs/>
          <w:color w:val="000000"/>
          <w:sz w:val="24"/>
          <w:szCs w:val="24"/>
        </w:rPr>
        <w:t>文件递交地点（保证金单独密封，不要密封在响应文件中）。</w:t>
      </w:r>
    </w:p>
    <w:p>
      <w:pPr>
        <w:snapToGrid w:val="0"/>
        <w:spacing w:line="360" w:lineRule="auto"/>
        <w:ind w:firstLine="480" w:firstLineChars="200"/>
        <w:outlineLvl w:val="1"/>
        <w:rPr>
          <w:rFonts w:ascii="宋体" w:hAnsi="宋体" w:cs="宋体"/>
          <w:color w:val="000000"/>
          <w:kern w:val="0"/>
          <w:szCs w:val="21"/>
        </w:rPr>
      </w:pPr>
      <w:r>
        <w:rPr>
          <w:rFonts w:hint="eastAsia" w:ascii="宋体" w:hAnsi="宋体" w:cs="宋体"/>
          <w:bCs/>
          <w:sz w:val="24"/>
          <w:szCs w:val="24"/>
        </w:rPr>
        <w:t>3</w:t>
      </w:r>
      <w:r>
        <w:rPr>
          <w:rFonts w:hint="eastAsia" w:ascii="宋体" w:hAnsi="宋体" w:cs="宋体"/>
          <w:bCs/>
          <w:color w:val="000000"/>
          <w:sz w:val="24"/>
          <w:szCs w:val="24"/>
        </w:rPr>
        <w:t>、未按上述要求提交</w:t>
      </w:r>
      <w:r>
        <w:rPr>
          <w:rFonts w:hint="eastAsia" w:ascii="宋体" w:hAnsi="宋体" w:cs="宋体"/>
          <w:bCs/>
          <w:sz w:val="24"/>
          <w:szCs w:val="24"/>
        </w:rPr>
        <w:t>磋商</w:t>
      </w:r>
      <w:r>
        <w:rPr>
          <w:rFonts w:hint="eastAsia" w:ascii="宋体" w:hAnsi="宋体" w:cs="宋体"/>
          <w:bCs/>
          <w:color w:val="000000"/>
          <w:sz w:val="24"/>
          <w:szCs w:val="24"/>
        </w:rPr>
        <w:t>保证金的供应商，采购单位有权拒绝其响应文件。</w:t>
      </w:r>
    </w:p>
    <w:p>
      <w:pPr>
        <w:spacing w:line="360" w:lineRule="auto"/>
        <w:ind w:firstLine="480" w:firstLineChars="200"/>
        <w:rPr>
          <w:rFonts w:ascii="宋体" w:hAnsi="宋体" w:cs="宋体"/>
          <w:sz w:val="24"/>
          <w:szCs w:val="24"/>
        </w:rPr>
      </w:pPr>
      <w:r>
        <w:rPr>
          <w:rFonts w:hint="eastAsia" w:ascii="宋体" w:hAnsi="宋体" w:cs="宋体"/>
          <w:sz w:val="24"/>
          <w:szCs w:val="24"/>
        </w:rPr>
        <w:t>九、联系方式</w:t>
      </w:r>
    </w:p>
    <w:p>
      <w:pPr>
        <w:ind w:firstLine="480" w:firstLineChars="200"/>
        <w:rPr>
          <w:rFonts w:ascii="宋体" w:hAnsi="宋体" w:cs="宋体"/>
          <w:color w:val="000000"/>
          <w:sz w:val="24"/>
          <w:szCs w:val="24"/>
        </w:rPr>
      </w:pPr>
      <w:r>
        <w:rPr>
          <w:rFonts w:hint="eastAsia" w:ascii="宋体" w:hAnsi="宋体" w:cs="宋体"/>
          <w:color w:val="000000"/>
          <w:sz w:val="24"/>
          <w:szCs w:val="24"/>
        </w:rPr>
        <w:t>采购单位：南通市体育局</w:t>
      </w:r>
    </w:p>
    <w:p>
      <w:pPr>
        <w:widowControl/>
        <w:spacing w:line="360" w:lineRule="auto"/>
        <w:ind w:firstLine="480" w:firstLineChars="200"/>
        <w:jc w:val="left"/>
        <w:rPr>
          <w:rFonts w:ascii="宋体" w:hAnsi="宋体" w:cs="宋体"/>
          <w:color w:val="000000"/>
          <w:sz w:val="24"/>
          <w:szCs w:val="24"/>
        </w:rPr>
      </w:pPr>
      <w:r>
        <w:rPr>
          <w:rFonts w:hint="eastAsia" w:ascii="宋体" w:hAnsi="宋体" w:cs="宋体"/>
          <w:sz w:val="24"/>
          <w:szCs w:val="24"/>
        </w:rPr>
        <w:t>采购单位联系人：李先生          联系电话：59002890</w:t>
      </w:r>
      <w:r>
        <w:rPr>
          <w:rFonts w:hint="eastAsia" w:ascii="宋体" w:hAnsi="宋体" w:cs="宋体"/>
          <w:color w:val="000000"/>
          <w:sz w:val="24"/>
          <w:szCs w:val="24"/>
        </w:rPr>
        <w:t xml:space="preserve">   </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代理机构：江苏宏信工程咨询有限公司</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地址：南通市港闸区江海大道488号金贸国际25楼</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联系人：薛工           联系电话：0513-55083979/15335086200</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邮箱：898101793@qq.com</w:t>
      </w:r>
    </w:p>
    <w:p>
      <w:pPr>
        <w:widowControl/>
        <w:spacing w:line="360" w:lineRule="auto"/>
        <w:ind w:firstLine="336" w:firstLineChars="200"/>
        <w:rPr>
          <w:rFonts w:ascii="宋体" w:hAnsi="宋体" w:cs="宋体"/>
          <w:w w:val="80"/>
          <w:szCs w:val="44"/>
        </w:rPr>
      </w:pPr>
      <w:r>
        <w:rPr>
          <w:rFonts w:hint="eastAsia" w:ascii="宋体" w:hAnsi="宋体" w:cs="宋体"/>
          <w:w w:val="80"/>
          <w:szCs w:val="44"/>
        </w:rPr>
        <w:br w:type="page"/>
      </w:r>
      <w:r>
        <w:rPr>
          <w:rFonts w:hint="eastAsia" w:ascii="宋体" w:hAnsi="宋体" w:cs="宋体"/>
          <w:w w:val="80"/>
          <w:szCs w:val="44"/>
        </w:rPr>
        <w:t xml:space="preserve">                           </w:t>
      </w:r>
      <w:r>
        <w:rPr>
          <w:rFonts w:hint="eastAsia" w:ascii="宋体" w:hAnsi="宋体" w:cs="宋体"/>
          <w:b/>
          <w:w w:val="80"/>
          <w:kern w:val="44"/>
          <w:sz w:val="44"/>
          <w:szCs w:val="44"/>
        </w:rPr>
        <w:t>第二章  投标供应商须知</w:t>
      </w:r>
    </w:p>
    <w:p>
      <w:pPr>
        <w:snapToGrid w:val="0"/>
        <w:spacing w:line="480" w:lineRule="exact"/>
        <w:ind w:firstLine="482" w:firstLineChars="200"/>
        <w:outlineLvl w:val="1"/>
        <w:rPr>
          <w:rFonts w:ascii="宋体" w:hAnsi="宋体" w:cs="宋体"/>
          <w:b/>
          <w:bCs/>
          <w:sz w:val="24"/>
          <w:szCs w:val="24"/>
        </w:rPr>
      </w:pPr>
      <w:r>
        <w:rPr>
          <w:rFonts w:hint="eastAsia" w:ascii="宋体" w:hAnsi="宋体" w:cs="宋体"/>
          <w:b/>
          <w:bCs/>
          <w:sz w:val="24"/>
          <w:szCs w:val="24"/>
        </w:rPr>
        <w:t>一、说明</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1、本竞争性磋商文件仅适用于采购人组织的竞争性磋商采购活动。</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2、竞争性磋商活动及因本次磋商产生的合同受中国法律制约和保护。</w:t>
      </w:r>
    </w:p>
    <w:p>
      <w:pPr>
        <w:snapToGrid w:val="0"/>
        <w:spacing w:line="480" w:lineRule="exact"/>
        <w:ind w:firstLine="480" w:firstLineChars="200"/>
        <w:rPr>
          <w:rFonts w:ascii="宋体" w:hAnsi="宋体" w:cs="宋体"/>
          <w:bCs/>
          <w:sz w:val="24"/>
          <w:szCs w:val="24"/>
        </w:rPr>
      </w:pPr>
      <w:r>
        <w:rPr>
          <w:rFonts w:hint="eastAsia" w:ascii="宋体" w:hAnsi="宋体" w:cs="宋体"/>
          <w:bCs/>
          <w:sz w:val="24"/>
          <w:szCs w:val="24"/>
        </w:rPr>
        <w:t>3、竞争性磋商文件的解释权属于采购人。</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3个工作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sz w:val="24"/>
          <w:szCs w:val="24"/>
        </w:rPr>
        <w:t>非书面形式的不作为日后质疑提出的依据。</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二、磋商文件的澄清、修改、答疑</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1、代理机构有权对发出的磋商文件进行必要的澄清、修改或补充。</w:t>
      </w:r>
    </w:p>
    <w:p>
      <w:pPr>
        <w:snapToGrid w:val="0"/>
        <w:spacing w:line="480" w:lineRule="exact"/>
        <w:ind w:firstLine="480" w:firstLineChars="200"/>
        <w:jc w:val="left"/>
        <w:rPr>
          <w:rFonts w:ascii="宋体" w:hAnsi="宋体" w:cs="宋体"/>
          <w:sz w:val="24"/>
          <w:szCs w:val="24"/>
        </w:rPr>
      </w:pPr>
      <w:r>
        <w:rPr>
          <w:rFonts w:hint="eastAsia" w:ascii="宋体" w:hAnsi="宋体" w:cs="宋体"/>
          <w:sz w:val="24"/>
          <w:szCs w:val="24"/>
        </w:rPr>
        <w:t>2、磋商文件的澄清、修改、补充等内容均以书面明确的形式发布，并以</w:t>
      </w:r>
      <w:r>
        <w:rPr>
          <w:rFonts w:hint="eastAsia" w:ascii="宋体" w:hAnsi="宋体" w:cs="宋体"/>
          <w:sz w:val="24"/>
          <w:szCs w:val="24"/>
          <w:lang w:val="zh-CN"/>
        </w:rPr>
        <w:t>南通市公共资源交易网</w:t>
      </w:r>
      <w:r>
        <w:rPr>
          <w:rFonts w:hint="eastAsia" w:ascii="宋体" w:hAnsi="宋体" w:cs="宋体"/>
          <w:sz w:val="24"/>
          <w:szCs w:val="24"/>
        </w:rPr>
        <w:t>发布的信息为准。</w:t>
      </w:r>
    </w:p>
    <w:p>
      <w:pPr>
        <w:snapToGrid w:val="0"/>
        <w:spacing w:line="480" w:lineRule="exact"/>
        <w:ind w:firstLine="480" w:firstLineChars="200"/>
        <w:jc w:val="left"/>
        <w:rPr>
          <w:rFonts w:ascii="宋体" w:hAnsi="宋体" w:cs="宋体"/>
          <w:sz w:val="24"/>
          <w:szCs w:val="24"/>
        </w:rPr>
      </w:pPr>
      <w:r>
        <w:rPr>
          <w:rFonts w:hint="eastAsia" w:ascii="宋体"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4、澄清或者修改的内容可能影响到响应文件编制的，代理机构将在提交响应文件接收截止之日的3个工作日前，发布澄清或者修改公告，不足3个工作日的，当顺延提交响应文件接收截止之日。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三、磋商响应文件的编制及装订</w:t>
      </w:r>
    </w:p>
    <w:p>
      <w:pPr>
        <w:spacing w:line="480" w:lineRule="exact"/>
        <w:ind w:firstLine="484" w:firstLineChars="202"/>
        <w:rPr>
          <w:rFonts w:ascii="宋体" w:hAnsi="宋体" w:cs="宋体"/>
          <w:sz w:val="24"/>
          <w:szCs w:val="24"/>
        </w:rPr>
      </w:pPr>
      <w:r>
        <w:rPr>
          <w:rFonts w:hint="eastAsia" w:ascii="宋体" w:hAnsi="宋体" w:cs="宋体"/>
          <w:sz w:val="24"/>
          <w:szCs w:val="24"/>
        </w:rPr>
        <w:t>竞磋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2" w:firstLineChars="200"/>
        <w:outlineLvl w:val="1"/>
        <w:rPr>
          <w:rFonts w:ascii="宋体" w:hAnsi="宋体" w:cs="宋体"/>
          <w:b/>
          <w:bCs/>
          <w:sz w:val="24"/>
          <w:szCs w:val="24"/>
        </w:rPr>
      </w:pPr>
      <w:r>
        <w:rPr>
          <w:rFonts w:hint="eastAsia" w:ascii="宋体" w:hAnsi="宋体" w:cs="宋体"/>
          <w:b/>
          <w:bCs/>
          <w:sz w:val="24"/>
          <w:szCs w:val="24"/>
        </w:rPr>
        <w:t>四、</w:t>
      </w:r>
      <w:r>
        <w:rPr>
          <w:rFonts w:hint="eastAsia" w:ascii="宋体" w:hAnsi="宋体" w:cs="宋体"/>
          <w:b/>
          <w:sz w:val="24"/>
          <w:szCs w:val="24"/>
        </w:rPr>
        <w:t>磋商</w:t>
      </w:r>
      <w:r>
        <w:rPr>
          <w:rFonts w:hint="eastAsia" w:ascii="宋体" w:hAnsi="宋体" w:cs="宋体"/>
          <w:b/>
          <w:bCs/>
          <w:sz w:val="24"/>
          <w:szCs w:val="24"/>
        </w:rPr>
        <w:t>响应文件的份数和签署</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1、磋商响应文件由：</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竞磋响应资料原件包、</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资格审查文件、③技术磋商响应文件、④商务报价磋商响应文件共4部分组成（以下由文件序号代称）。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2、响应文件中，除“①竞磋响应资料原件包”外，均为一式叁份，其中“正本”壹份和“副本”贰份。</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4、竞磋供应商可将响应文件正副本统一密封或分别密封，如正本和副本分别密封的，应在封袋上标明正、副本字样。</w:t>
      </w:r>
    </w:p>
    <w:p>
      <w:pPr>
        <w:snapToGrid w:val="0"/>
        <w:spacing w:line="480" w:lineRule="exact"/>
        <w:ind w:firstLine="470" w:firstLineChars="196"/>
        <w:rPr>
          <w:rFonts w:ascii="宋体" w:hAnsi="宋体" w:cs="宋体"/>
          <w:sz w:val="24"/>
          <w:szCs w:val="24"/>
        </w:rPr>
      </w:pPr>
      <w:r>
        <w:rPr>
          <w:rFonts w:hint="eastAsia" w:ascii="宋体" w:hAnsi="宋体" w:cs="宋体"/>
          <w:sz w:val="24"/>
          <w:szCs w:val="24"/>
        </w:rPr>
        <w:t>5、响应文件中的所有“正本”，其正文内容须按磋商文件要求由竞磋供应商法定代表人或被授权人签字（或盖章）并加盖单位公章。“副本”可复印，但须加盖单位公章。</w:t>
      </w:r>
    </w:p>
    <w:p>
      <w:pPr>
        <w:snapToGrid w:val="0"/>
        <w:spacing w:line="480" w:lineRule="exact"/>
        <w:ind w:firstLine="472" w:firstLineChars="196"/>
        <w:rPr>
          <w:rFonts w:ascii="宋体" w:hAnsi="宋体" w:cs="宋体"/>
          <w:b/>
          <w:bCs/>
          <w:sz w:val="24"/>
          <w:szCs w:val="24"/>
        </w:rPr>
      </w:pPr>
      <w:r>
        <w:rPr>
          <w:rFonts w:hint="eastAsia" w:ascii="宋体" w:hAnsi="宋体" w:cs="宋体"/>
          <w:b/>
          <w:bCs/>
          <w:sz w:val="24"/>
          <w:szCs w:val="24"/>
        </w:rPr>
        <w:t>五、</w:t>
      </w:r>
      <w:r>
        <w:rPr>
          <w:rFonts w:hint="eastAsia" w:ascii="宋体" w:hAnsi="宋体" w:cs="宋体"/>
          <w:b/>
          <w:sz w:val="24"/>
          <w:szCs w:val="24"/>
        </w:rPr>
        <w:t>磋商</w:t>
      </w:r>
      <w:r>
        <w:rPr>
          <w:rFonts w:hint="eastAsia" w:ascii="宋体" w:hAnsi="宋体" w:cs="宋体"/>
          <w:b/>
          <w:bCs/>
          <w:sz w:val="24"/>
          <w:szCs w:val="24"/>
        </w:rPr>
        <w:t>响应文件的密封及标记</w:t>
      </w:r>
    </w:p>
    <w:p>
      <w:pPr>
        <w:snapToGrid w:val="0"/>
        <w:spacing w:line="480" w:lineRule="exact"/>
        <w:ind w:firstLine="480" w:firstLineChars="200"/>
        <w:rPr>
          <w:rFonts w:ascii="宋体" w:hAnsi="宋体" w:cs="宋体"/>
          <w:sz w:val="24"/>
          <w:szCs w:val="24"/>
          <w:u w:val="single"/>
        </w:rPr>
      </w:pPr>
      <w:r>
        <w:rPr>
          <w:rFonts w:hint="eastAsia" w:ascii="宋体" w:hAnsi="宋体" w:cs="宋体"/>
          <w:sz w:val="24"/>
          <w:szCs w:val="24"/>
        </w:rPr>
        <w:t>1、竞磋供应商须将本项目响应文件：</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3 \* GB3 </w:instrText>
      </w:r>
      <w:r>
        <w:rPr>
          <w:rFonts w:hint="eastAsia" w:ascii="宋体" w:hAnsi="宋体" w:cs="宋体"/>
          <w:sz w:val="24"/>
          <w:szCs w:val="24"/>
        </w:rPr>
        <w:fldChar w:fldCharType="separate"/>
      </w:r>
      <w:r>
        <w:rPr>
          <w:rFonts w:hint="eastAsia" w:ascii="宋体" w:hAnsi="宋体" w:cs="宋体"/>
          <w:sz w:val="24"/>
          <w:szCs w:val="24"/>
        </w:rPr>
        <w:t>③</w:t>
      </w:r>
      <w:r>
        <w:rPr>
          <w:rFonts w:hint="eastAsia" w:ascii="宋体" w:hAnsi="宋体" w:cs="宋体"/>
          <w:sz w:val="24"/>
          <w:szCs w:val="24"/>
        </w:rPr>
        <w:fldChar w:fldCharType="end"/>
      </w:r>
      <w:r>
        <w:rPr>
          <w:rFonts w:hint="eastAsia" w:ascii="宋体" w:hAnsi="宋体" w:cs="宋体"/>
          <w:sz w:val="24"/>
          <w:szCs w:val="24"/>
        </w:rPr>
        <w:t>、④</w:t>
      </w:r>
      <w:r>
        <w:rPr>
          <w:rFonts w:hint="eastAsia" w:ascii="宋体" w:hAnsi="宋体" w:cs="宋体"/>
          <w:b/>
          <w:sz w:val="24"/>
          <w:szCs w:val="24"/>
        </w:rPr>
        <w:t>单独密封</w:t>
      </w:r>
      <w:r>
        <w:rPr>
          <w:rFonts w:hint="eastAsia" w:ascii="宋体" w:hAnsi="宋体" w:cs="宋体"/>
          <w:sz w:val="24"/>
          <w:szCs w:val="24"/>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3、在封袋上加盖竞磋供应商公章。</w:t>
      </w:r>
    </w:p>
    <w:p>
      <w:pPr>
        <w:snapToGrid w:val="0"/>
        <w:spacing w:line="480" w:lineRule="exact"/>
        <w:ind w:firstLine="482" w:firstLineChars="200"/>
        <w:rPr>
          <w:rFonts w:ascii="宋体" w:hAnsi="宋体" w:cs="宋体"/>
          <w:sz w:val="24"/>
          <w:szCs w:val="24"/>
        </w:rPr>
      </w:pPr>
      <w:r>
        <w:rPr>
          <w:rFonts w:hint="eastAsia" w:ascii="宋体" w:hAnsi="宋体" w:cs="宋体"/>
          <w:b/>
          <w:sz w:val="24"/>
          <w:szCs w:val="24"/>
        </w:rPr>
        <w:t>【特别提醒】</w:t>
      </w:r>
      <w:r>
        <w:rPr>
          <w:rFonts w:hint="eastAsia" w:ascii="宋体" w:hAnsi="宋体" w:cs="宋体"/>
          <w:sz w:val="24"/>
          <w:szCs w:val="24"/>
        </w:rPr>
        <w:t>响应文件中的</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和</w:t>
      </w:r>
      <w:r>
        <w:rPr>
          <w:rFonts w:hint="eastAsia" w:ascii="宋体" w:hAnsi="宋体" w:cs="宋体"/>
          <w:sz w:val="24"/>
          <w:szCs w:val="24"/>
        </w:rPr>
        <w:fldChar w:fldCharType="begin"/>
      </w:r>
      <w:r>
        <w:rPr>
          <w:rFonts w:hint="eastAsia" w:ascii="宋体" w:hAnsi="宋体" w:cs="宋体"/>
          <w:sz w:val="24"/>
          <w:szCs w:val="24"/>
        </w:rPr>
        <w:instrText xml:space="preserve"> = 3 \* GB3 </w:instrText>
      </w:r>
      <w:r>
        <w:rPr>
          <w:rFonts w:hint="eastAsia" w:ascii="宋体" w:hAnsi="宋体" w:cs="宋体"/>
          <w:sz w:val="24"/>
          <w:szCs w:val="24"/>
        </w:rPr>
        <w:fldChar w:fldCharType="separate"/>
      </w:r>
      <w:r>
        <w:rPr>
          <w:rFonts w:hint="eastAsia" w:ascii="宋体" w:hAnsi="宋体" w:cs="宋体"/>
          <w:sz w:val="24"/>
          <w:szCs w:val="24"/>
        </w:rPr>
        <w:t>③</w:t>
      </w:r>
      <w:r>
        <w:rPr>
          <w:rFonts w:hint="eastAsia" w:ascii="宋体" w:hAnsi="宋体" w:cs="宋体"/>
          <w:sz w:val="24"/>
          <w:szCs w:val="24"/>
        </w:rPr>
        <w:fldChar w:fldCharType="end"/>
      </w:r>
      <w:r>
        <w:rPr>
          <w:rFonts w:hint="eastAsia" w:ascii="宋体" w:hAnsi="宋体" w:cs="宋体"/>
          <w:sz w:val="24"/>
          <w:szCs w:val="24"/>
        </w:rPr>
        <w:t>的“正本”或“副本”中，均不得含有商务报价磋商响应文件中报价表（报价单）内的任何项目价格，否则作无效投标处理。</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六、磋商报价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1、本项目不接受任何有选择的报价。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2、磋商报价均以人民币为报价的币种。</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41条的规定。</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4、竞磋供应商应按本竞争性磋商文件内项目需求的全部采购内容计算单价。</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5、</w:t>
      </w:r>
      <w:r>
        <w:rPr>
          <w:rFonts w:hint="eastAsia" w:ascii="宋体" w:hAnsi="宋体" w:cs="宋体"/>
          <w:b/>
          <w:bCs/>
          <w:sz w:val="24"/>
          <w:szCs w:val="24"/>
        </w:rPr>
        <w:t>本项目采用固定总价报价，竞磋供应商应按采购人提供的项目需求，只需要报总价。只允许有一个报价。任何有选择的报价将不予接受。</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磋商报价（固定总价）中应包含：：该项目需求中的所有需求的费用及招标代理服务费以及投标人企业利润、税金和政策性文件规定及合同包含的所有风险、责任，即组织赛事期间的所有费用。</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竞磋供应商应详细阅读竞争性磋商文件的全部内容，根据采购项目需求，准确制定相关工作方案等，必须对本采购项目进行报价，如有漏项，视同对本项目的优惠。不按竞争性磋商文件的要求提供响应文件，导致报价无效，作无效标处理。</w:t>
      </w:r>
    </w:p>
    <w:p>
      <w:pPr>
        <w:spacing w:line="480" w:lineRule="exact"/>
        <w:ind w:firstLine="494" w:firstLineChars="206"/>
        <w:rPr>
          <w:rFonts w:ascii="宋体" w:hAnsi="宋体" w:cs="宋体"/>
          <w:sz w:val="24"/>
          <w:szCs w:val="24"/>
        </w:rPr>
      </w:pPr>
      <w:r>
        <w:rPr>
          <w:rFonts w:hint="eastAsia" w:ascii="宋体" w:hAnsi="宋体" w:cs="宋体"/>
          <w:sz w:val="24"/>
          <w:szCs w:val="24"/>
        </w:rPr>
        <w:t>7、竞争性磋商的最终报价为成交价。同时，供应商的最终成交价在合同实施期间不因市场变化因素而变动。</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8、最低的磋商报价是成交的重要条件，但不是成交的唯一条件。</w:t>
      </w:r>
    </w:p>
    <w:p>
      <w:pPr>
        <w:snapToGrid w:val="0"/>
        <w:spacing w:line="480" w:lineRule="exact"/>
        <w:ind w:firstLine="496" w:firstLineChars="206"/>
        <w:outlineLvl w:val="1"/>
        <w:rPr>
          <w:rFonts w:ascii="宋体" w:hAnsi="宋体" w:cs="宋体"/>
          <w:b/>
          <w:bCs/>
          <w:sz w:val="24"/>
          <w:szCs w:val="24"/>
        </w:rPr>
      </w:pPr>
      <w:r>
        <w:rPr>
          <w:rFonts w:hint="eastAsia" w:ascii="宋体" w:hAnsi="宋体" w:cs="宋体"/>
          <w:b/>
          <w:bCs/>
          <w:sz w:val="24"/>
          <w:szCs w:val="24"/>
        </w:rPr>
        <w:t>七、联合体参与磋商</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不接受任何形式的联合体参与本项目的竞争性磋商。</w:t>
      </w:r>
    </w:p>
    <w:p>
      <w:pPr>
        <w:snapToGrid w:val="0"/>
        <w:spacing w:line="480" w:lineRule="exact"/>
        <w:ind w:firstLine="482" w:firstLineChars="200"/>
        <w:outlineLvl w:val="1"/>
        <w:rPr>
          <w:rFonts w:ascii="宋体" w:hAnsi="宋体" w:cs="宋体"/>
          <w:b/>
          <w:bCs/>
          <w:sz w:val="24"/>
          <w:szCs w:val="24"/>
          <w:lang w:val="zh-CN"/>
        </w:rPr>
      </w:pPr>
      <w:r>
        <w:rPr>
          <w:rFonts w:hint="eastAsia" w:ascii="宋体" w:hAnsi="宋体" w:cs="宋体"/>
          <w:b/>
          <w:bCs/>
          <w:sz w:val="24"/>
          <w:szCs w:val="24"/>
          <w:lang w:val="zh-CN"/>
        </w:rPr>
        <w:t>八、</w:t>
      </w:r>
      <w:r>
        <w:rPr>
          <w:rFonts w:hint="eastAsia" w:ascii="宋体" w:hAnsi="宋体" w:cs="宋体"/>
          <w:b/>
          <w:bCs/>
          <w:sz w:val="24"/>
          <w:szCs w:val="24"/>
        </w:rPr>
        <w:t>磋商</w:t>
      </w:r>
      <w:r>
        <w:rPr>
          <w:rFonts w:hint="eastAsia" w:ascii="宋体" w:hAnsi="宋体" w:cs="宋体"/>
          <w:b/>
          <w:bCs/>
          <w:sz w:val="24"/>
          <w:szCs w:val="24"/>
          <w:lang w:val="zh-CN"/>
        </w:rPr>
        <w:t>保证金退还</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1、未成交的供应商的磋商保证金，当场退还，成交的供应商（以下称为中标人）的磋商保证金将在采购单位与中标人签订的合同生效后</w:t>
      </w:r>
      <w:r>
        <w:rPr>
          <w:rFonts w:hint="eastAsia" w:ascii="宋体" w:hAnsi="宋体" w:cs="宋体"/>
          <w:b/>
          <w:sz w:val="24"/>
          <w:szCs w:val="24"/>
          <w:u w:val="single"/>
        </w:rPr>
        <w:t>5个工作日内</w:t>
      </w:r>
      <w:r>
        <w:rPr>
          <w:rFonts w:hint="eastAsia" w:ascii="宋体" w:hAnsi="宋体" w:cs="宋体"/>
          <w:sz w:val="24"/>
          <w:szCs w:val="24"/>
        </w:rPr>
        <w:t xml:space="preserve">，予以退还（无息）。 </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2、发生下列情况之一，磋商保证金将不予退还。</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（1）</w:t>
      </w:r>
      <w:r>
        <w:rPr>
          <w:rFonts w:hint="eastAsia" w:ascii="宋体" w:hAnsi="宋体" w:cs="宋体"/>
          <w:kern w:val="0"/>
          <w:sz w:val="24"/>
          <w:szCs w:val="24"/>
        </w:rPr>
        <w:t>供应商在提交响应文件截止时间后撤回响应文件的；</w:t>
      </w:r>
    </w:p>
    <w:p>
      <w:pPr>
        <w:snapToGrid w:val="0"/>
        <w:spacing w:line="480" w:lineRule="exact"/>
        <w:ind w:firstLine="460" w:firstLineChars="192"/>
        <w:rPr>
          <w:rFonts w:ascii="宋体" w:hAnsi="宋体" w:cs="宋体"/>
          <w:kern w:val="0"/>
          <w:sz w:val="24"/>
          <w:szCs w:val="24"/>
        </w:rPr>
      </w:pPr>
      <w:r>
        <w:rPr>
          <w:rFonts w:hint="eastAsia" w:ascii="宋体" w:hAnsi="宋体" w:cs="宋体"/>
          <w:sz w:val="24"/>
          <w:szCs w:val="24"/>
        </w:rPr>
        <w:t>（2）</w:t>
      </w:r>
      <w:r>
        <w:rPr>
          <w:rFonts w:hint="eastAsia" w:ascii="宋体" w:hAnsi="宋体" w:cs="宋体"/>
          <w:kern w:val="0"/>
          <w:sz w:val="24"/>
          <w:szCs w:val="24"/>
        </w:rPr>
        <w:t>供应商在响应文件中提供虚假材料的；</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（3）除因不可抗力或磋商文件认可的情形以外，</w:t>
      </w:r>
      <w:r>
        <w:rPr>
          <w:rFonts w:hint="eastAsia" w:ascii="宋体" w:hAnsi="宋体" w:cs="宋体"/>
          <w:bCs/>
          <w:sz w:val="24"/>
          <w:szCs w:val="24"/>
        </w:rPr>
        <w:t>中标人</w:t>
      </w:r>
      <w:r>
        <w:rPr>
          <w:rFonts w:hint="eastAsia" w:ascii="宋体" w:hAnsi="宋体" w:cs="宋体"/>
          <w:sz w:val="24"/>
          <w:szCs w:val="24"/>
        </w:rPr>
        <w:t xml:space="preserve">不按规定缴纳履约保证金或不与采购单位签订合同的； </w:t>
      </w:r>
    </w:p>
    <w:p>
      <w:pPr>
        <w:snapToGrid w:val="0"/>
        <w:spacing w:line="480" w:lineRule="exact"/>
        <w:ind w:firstLine="460" w:firstLineChars="192"/>
        <w:rPr>
          <w:rFonts w:ascii="宋体" w:hAnsi="宋体" w:cs="宋体"/>
          <w:kern w:val="0"/>
          <w:sz w:val="24"/>
          <w:szCs w:val="24"/>
        </w:rPr>
      </w:pPr>
      <w:r>
        <w:rPr>
          <w:rFonts w:hint="eastAsia" w:ascii="宋体" w:hAnsi="宋体" w:cs="宋体"/>
          <w:sz w:val="24"/>
          <w:szCs w:val="24"/>
        </w:rPr>
        <w:t>（4）</w:t>
      </w:r>
      <w:r>
        <w:rPr>
          <w:rFonts w:hint="eastAsia" w:ascii="宋体" w:hAnsi="宋体" w:cs="宋体"/>
          <w:kern w:val="0"/>
          <w:sz w:val="24"/>
          <w:szCs w:val="24"/>
        </w:rPr>
        <w:t>供应商与采购单位、其他供应商或者代理机构恶意串通的；</w:t>
      </w:r>
    </w:p>
    <w:p>
      <w:pPr>
        <w:snapToGrid w:val="0"/>
        <w:spacing w:line="480" w:lineRule="exact"/>
        <w:ind w:firstLine="460" w:firstLineChars="192"/>
        <w:rPr>
          <w:rFonts w:ascii="宋体" w:hAnsi="宋体" w:cs="宋体"/>
          <w:kern w:val="0"/>
          <w:sz w:val="24"/>
          <w:szCs w:val="24"/>
        </w:rPr>
      </w:pPr>
      <w:r>
        <w:rPr>
          <w:rFonts w:hint="eastAsia" w:ascii="宋体" w:hAnsi="宋体" w:cs="宋体"/>
          <w:sz w:val="24"/>
          <w:szCs w:val="24"/>
        </w:rPr>
        <w:t>（5）供应商在磋商过程中有违反有关法律法规的行为；</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（6）磋商文件规定的其他情形的。</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3、对于在磋商顺利开始后至开标结束前，根据磋商情况退出磋商的供应商，须以书面形式说明退出磋商的原因，经磋商小组同意可以退还其缴纳的磋商保证金。</w:t>
      </w:r>
    </w:p>
    <w:p>
      <w:pPr>
        <w:snapToGrid w:val="0"/>
        <w:spacing w:line="480" w:lineRule="exact"/>
        <w:ind w:firstLine="482" w:firstLineChars="200"/>
        <w:outlineLvl w:val="1"/>
        <w:rPr>
          <w:rFonts w:ascii="宋体" w:hAnsi="宋体" w:cs="宋体"/>
          <w:sz w:val="24"/>
          <w:szCs w:val="24"/>
        </w:rPr>
      </w:pPr>
      <w:r>
        <w:rPr>
          <w:rFonts w:hint="eastAsia" w:ascii="宋体" w:hAnsi="宋体" w:cs="宋体"/>
          <w:b/>
          <w:bCs/>
          <w:sz w:val="24"/>
          <w:szCs w:val="24"/>
        </w:rPr>
        <w:t>九、响应文件及</w:t>
      </w:r>
      <w:r>
        <w:rPr>
          <w:rFonts w:hint="eastAsia" w:ascii="宋体" w:hAnsi="宋体" w:cs="宋体"/>
          <w:b/>
          <w:kern w:val="0"/>
          <w:sz w:val="24"/>
          <w:szCs w:val="24"/>
        </w:rPr>
        <w:t>磋商</w:t>
      </w:r>
      <w:r>
        <w:rPr>
          <w:rFonts w:hint="eastAsia" w:ascii="宋体" w:hAnsi="宋体" w:cs="宋体"/>
          <w:b/>
          <w:bCs/>
          <w:sz w:val="24"/>
          <w:szCs w:val="24"/>
        </w:rPr>
        <w:t>费用</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1、磋商文件每套售价150元，在递交磋商响应文件的同时提交给招标代理机构。</w:t>
      </w:r>
    </w:p>
    <w:p>
      <w:pPr>
        <w:snapToGrid w:val="0"/>
        <w:spacing w:line="480" w:lineRule="exact"/>
        <w:ind w:firstLine="460" w:firstLineChars="192"/>
        <w:rPr>
          <w:rFonts w:ascii="宋体" w:hAnsi="宋体" w:cs="宋体"/>
          <w:sz w:val="24"/>
          <w:szCs w:val="24"/>
        </w:rPr>
      </w:pPr>
      <w:r>
        <w:rPr>
          <w:rFonts w:hint="eastAsia" w:ascii="宋体" w:hAnsi="宋体" w:cs="宋体"/>
          <w:sz w:val="24"/>
          <w:szCs w:val="24"/>
        </w:rPr>
        <w:t>2、磋商程序顺利进行后，除供应商的原件可退回外，其余所有的响应文件都将作为档案保存，不论成交与否，代理机构均不退回。</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3、本项目招标代理服务费及评委费由中标供应商支付。招标代理服务费650元。评委费按实支付。</w:t>
      </w:r>
    </w:p>
    <w:p>
      <w:pPr>
        <w:snapToGrid w:val="0"/>
        <w:spacing w:line="480" w:lineRule="exact"/>
        <w:ind w:firstLine="460" w:firstLineChars="192"/>
        <w:rPr>
          <w:rFonts w:ascii="宋体" w:hAnsi="宋体" w:cs="宋体"/>
          <w:color w:val="FF0000"/>
          <w:sz w:val="24"/>
          <w:szCs w:val="24"/>
        </w:rPr>
      </w:pPr>
      <w:r>
        <w:rPr>
          <w:rFonts w:hint="eastAsia" w:ascii="宋体" w:hAnsi="宋体" w:cs="宋体"/>
          <w:sz w:val="24"/>
          <w:szCs w:val="24"/>
        </w:rPr>
        <w:t>4、无论磋商过程和结果如何，参加项目磋商的供应商自行承担与本次项目磋商有关的全部费用。</w:t>
      </w:r>
    </w:p>
    <w:p>
      <w:pPr>
        <w:snapToGrid w:val="0"/>
        <w:spacing w:line="360" w:lineRule="auto"/>
        <w:ind w:firstLine="207" w:firstLineChars="206"/>
        <w:outlineLvl w:val="1"/>
        <w:rPr>
          <w:rFonts w:ascii="宋体" w:hAnsi="宋体" w:cs="宋体"/>
          <w:b/>
          <w:bCs/>
          <w:sz w:val="10"/>
          <w:szCs w:val="10"/>
        </w:rPr>
      </w:pPr>
    </w:p>
    <w:p>
      <w:pPr>
        <w:snapToGrid w:val="0"/>
        <w:spacing w:line="360" w:lineRule="auto"/>
        <w:ind w:firstLine="496" w:firstLineChars="206"/>
        <w:outlineLvl w:val="1"/>
        <w:rPr>
          <w:rFonts w:ascii="宋体" w:hAnsi="宋体" w:cs="宋体"/>
          <w:b/>
          <w:bCs/>
          <w:sz w:val="24"/>
          <w:szCs w:val="24"/>
        </w:rPr>
      </w:pPr>
      <w:r>
        <w:rPr>
          <w:rFonts w:hint="eastAsia" w:ascii="宋体" w:hAnsi="宋体" w:cs="宋体"/>
          <w:b/>
          <w:bCs/>
          <w:sz w:val="24"/>
          <w:szCs w:val="24"/>
        </w:rPr>
        <w:t>十、履约保证金</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1、本项目成交后的履约保证金为项目中标价的</w:t>
      </w:r>
      <w:r>
        <w:rPr>
          <w:rFonts w:hint="eastAsia" w:ascii="宋体" w:hAnsi="宋体" w:cs="宋体"/>
          <w:bCs/>
          <w:sz w:val="24"/>
          <w:szCs w:val="24"/>
          <w:u w:val="single"/>
        </w:rPr>
        <w:t>10%</w:t>
      </w:r>
      <w:r>
        <w:rPr>
          <w:rFonts w:hint="eastAsia" w:ascii="宋体" w:hAnsi="宋体" w:cs="宋体"/>
          <w:bCs/>
          <w:sz w:val="24"/>
          <w:szCs w:val="24"/>
        </w:rPr>
        <w:t>。</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2、中标人的履约保证金须在成交通知书发出5个工作日内汇入采购单位账户，成交通知书发出后5个工作日内且按约定提交履约保证金后按照磋商文件确定的事项与采购单位签订合同。超期或未有协商，则视为自动放弃成交资格。</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3、中标人在按要求保质保量的完成该项目合同并通过验收后，采购单位凭中标人提交的申请，一次性无息退还该合同项目的履约保证金。</w:t>
      </w:r>
    </w:p>
    <w:p>
      <w:pPr>
        <w:snapToGrid w:val="0"/>
        <w:spacing w:line="480" w:lineRule="exact"/>
        <w:ind w:firstLine="494" w:firstLineChars="206"/>
        <w:outlineLvl w:val="1"/>
        <w:rPr>
          <w:rFonts w:ascii="宋体" w:hAnsi="宋体" w:cs="宋体"/>
          <w:bCs/>
          <w:sz w:val="24"/>
          <w:szCs w:val="24"/>
        </w:rPr>
      </w:pPr>
      <w:r>
        <w:rPr>
          <w:rFonts w:hint="eastAsia" w:ascii="宋体" w:hAnsi="宋体" w:cs="宋体"/>
          <w:bCs/>
          <w:sz w:val="24"/>
          <w:szCs w:val="24"/>
        </w:rPr>
        <w:t>4、由于中标人原因，在签订合同后出现不按合同履行的情况，采购单位有权将履约保证金作为违约金，全额不予退还，同时采购单位亦有权终止合同，中标人还须承担相应的法律赔偿责任。</w:t>
      </w:r>
    </w:p>
    <w:p>
      <w:pPr>
        <w:snapToGrid w:val="0"/>
        <w:spacing w:line="480" w:lineRule="exact"/>
        <w:ind w:firstLine="496" w:firstLineChars="206"/>
        <w:outlineLvl w:val="1"/>
        <w:rPr>
          <w:rFonts w:ascii="宋体" w:hAnsi="宋体" w:cs="宋体"/>
          <w:b/>
          <w:sz w:val="24"/>
          <w:szCs w:val="24"/>
        </w:rPr>
      </w:pPr>
      <w:r>
        <w:rPr>
          <w:rFonts w:hint="eastAsia" w:ascii="宋体" w:hAnsi="宋体" w:cs="宋体"/>
          <w:b/>
          <w:sz w:val="24"/>
          <w:szCs w:val="24"/>
        </w:rPr>
        <w:t>十一、未尽事宜</w:t>
      </w:r>
    </w:p>
    <w:p>
      <w:pPr>
        <w:snapToGrid w:val="0"/>
        <w:spacing w:line="480" w:lineRule="exact"/>
        <w:ind w:firstLine="494" w:firstLineChars="206"/>
        <w:rPr>
          <w:rFonts w:ascii="宋体" w:hAnsi="宋体" w:cs="宋体"/>
          <w:sz w:val="24"/>
          <w:szCs w:val="24"/>
        </w:rPr>
      </w:pPr>
      <w:r>
        <w:rPr>
          <w:rFonts w:hint="eastAsia" w:ascii="宋体" w:hAnsi="宋体" w:cs="宋体"/>
          <w:sz w:val="24"/>
          <w:szCs w:val="24"/>
        </w:rPr>
        <w:t>按《中华人民共和国政府采购法》、《政府采购竞争性磋商采购方式管理暂行办法》及其他有关法律法规的规定执行。</w:t>
      </w:r>
    </w:p>
    <w:p>
      <w:pPr>
        <w:rPr>
          <w:rFonts w:ascii="宋体" w:hAnsi="宋体" w:cs="宋体"/>
        </w:rPr>
      </w:pPr>
    </w:p>
    <w:p>
      <w:pPr>
        <w:pStyle w:val="2"/>
        <w:keepNext w:val="0"/>
        <w:keepLines w:val="0"/>
        <w:adjustRightInd w:val="0"/>
        <w:snapToGrid w:val="0"/>
        <w:spacing w:before="0" w:after="0" w:line="800" w:lineRule="exact"/>
        <w:jc w:val="center"/>
        <w:textAlignment w:val="baseline"/>
        <w:rPr>
          <w:rFonts w:ascii="宋体" w:hAnsi="宋体" w:eastAsia="宋体" w:cs="宋体"/>
          <w:w w:val="80"/>
          <w:szCs w:val="44"/>
        </w:rPr>
      </w:pPr>
      <w:bookmarkStart w:id="0" w:name="_Toc432763305"/>
    </w:p>
    <w:p>
      <w:pPr>
        <w:pStyle w:val="2"/>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w w:val="80"/>
          <w:szCs w:val="44"/>
        </w:rPr>
        <w:t>第三章  项目需求</w:t>
      </w:r>
      <w:bookmarkEnd w:id="0"/>
    </w:p>
    <w:p>
      <w:pPr>
        <w:snapToGrid w:val="0"/>
        <w:spacing w:before="332" w:after="332"/>
        <w:outlineLvl w:val="1"/>
        <w:rPr>
          <w:rFonts w:ascii="宋体" w:hAnsi="宋体"/>
          <w:sz w:val="24"/>
          <w:szCs w:val="24"/>
        </w:rPr>
      </w:pPr>
      <w:r>
        <w:rPr>
          <w:rFonts w:hint="eastAsia" w:ascii="宋体" w:hAnsi="宋体"/>
          <w:sz w:val="24"/>
          <w:szCs w:val="24"/>
        </w:rPr>
        <w:t>一、项目概况：本采购项目为2019年南通市青少年体育比赛游泳比赛赛事承办项目。</w:t>
      </w:r>
    </w:p>
    <w:p>
      <w:pPr>
        <w:snapToGrid w:val="0"/>
        <w:spacing w:before="332" w:after="332"/>
        <w:outlineLvl w:val="1"/>
        <w:rPr>
          <w:rFonts w:ascii="宋体" w:hAnsi="宋体"/>
          <w:sz w:val="24"/>
          <w:szCs w:val="24"/>
        </w:rPr>
      </w:pPr>
      <w:r>
        <w:rPr>
          <w:rFonts w:hint="eastAsia" w:ascii="宋体" w:hAnsi="宋体"/>
          <w:sz w:val="24"/>
          <w:szCs w:val="24"/>
        </w:rPr>
        <w:t>二、采购限价：5万元</w:t>
      </w:r>
    </w:p>
    <w:p>
      <w:pPr>
        <w:snapToGrid w:val="0"/>
        <w:spacing w:before="332" w:after="332"/>
        <w:outlineLvl w:val="1"/>
        <w:rPr>
          <w:rFonts w:ascii="宋体" w:hAnsi="宋体"/>
          <w:sz w:val="24"/>
          <w:szCs w:val="24"/>
        </w:rPr>
      </w:pPr>
      <w:r>
        <w:rPr>
          <w:rFonts w:hint="eastAsia" w:ascii="宋体" w:hAnsi="宋体"/>
          <w:sz w:val="24"/>
          <w:szCs w:val="24"/>
        </w:rPr>
        <w:t>三、需求总则</w:t>
      </w:r>
    </w:p>
    <w:p>
      <w:pPr>
        <w:snapToGrid w:val="0"/>
        <w:spacing w:before="332" w:after="332"/>
        <w:outlineLvl w:val="1"/>
        <w:rPr>
          <w:rFonts w:ascii="宋体" w:hAnsi="宋体"/>
          <w:sz w:val="24"/>
          <w:szCs w:val="24"/>
        </w:rPr>
      </w:pPr>
      <w:r>
        <w:rPr>
          <w:rFonts w:hint="eastAsia" w:ascii="宋体" w:hAnsi="宋体"/>
          <w:sz w:val="24"/>
          <w:szCs w:val="24"/>
        </w:rPr>
        <w:t>（一）基本情况：</w:t>
      </w:r>
    </w:p>
    <w:p>
      <w:pPr>
        <w:snapToGrid w:val="0"/>
        <w:spacing w:before="332" w:after="332"/>
        <w:outlineLvl w:val="1"/>
        <w:rPr>
          <w:rFonts w:ascii="宋体" w:hAnsi="宋体"/>
          <w:sz w:val="24"/>
          <w:szCs w:val="24"/>
        </w:rPr>
      </w:pPr>
      <w:r>
        <w:rPr>
          <w:rFonts w:hint="eastAsia" w:ascii="宋体" w:hAnsi="宋体"/>
          <w:sz w:val="24"/>
          <w:szCs w:val="24"/>
        </w:rPr>
        <w:t>赛事时间：11月，赛事规模约150人，裁判及工作人员约50人，赛程3天。大会统一保障食宿。</w:t>
      </w:r>
    </w:p>
    <w:p>
      <w:pPr>
        <w:snapToGrid w:val="0"/>
        <w:spacing w:before="332" w:after="332"/>
        <w:outlineLvl w:val="1"/>
        <w:rPr>
          <w:rFonts w:ascii="宋体" w:hAnsi="宋体"/>
          <w:sz w:val="24"/>
          <w:szCs w:val="24"/>
        </w:rPr>
      </w:pPr>
      <w:r>
        <w:rPr>
          <w:rFonts w:hint="eastAsia" w:ascii="宋体" w:hAnsi="宋体"/>
          <w:sz w:val="24"/>
          <w:szCs w:val="24"/>
        </w:rPr>
        <w:t>（二）采购项目要求及技术需求：</w:t>
      </w:r>
    </w:p>
    <w:p>
      <w:pPr>
        <w:snapToGrid w:val="0"/>
        <w:spacing w:before="332" w:after="332"/>
        <w:outlineLvl w:val="1"/>
        <w:rPr>
          <w:rFonts w:ascii="宋体" w:hAnsi="宋体"/>
          <w:sz w:val="24"/>
          <w:szCs w:val="24"/>
        </w:rPr>
      </w:pPr>
      <w:r>
        <w:rPr>
          <w:rFonts w:hint="eastAsia" w:ascii="宋体" w:hAnsi="宋体"/>
          <w:sz w:val="24"/>
          <w:szCs w:val="24"/>
        </w:rPr>
        <w:t>1、成立有关部门负责人参加的组织委员会，并成立相应的办事机构，确保赛事各项筹备工作有计划的顺利进行；</w:t>
      </w:r>
    </w:p>
    <w:p>
      <w:pPr>
        <w:snapToGrid w:val="0"/>
        <w:spacing w:before="332" w:after="332"/>
        <w:outlineLvl w:val="1"/>
        <w:rPr>
          <w:rFonts w:ascii="宋体" w:hAnsi="宋体"/>
          <w:sz w:val="24"/>
          <w:szCs w:val="24"/>
        </w:rPr>
      </w:pPr>
      <w:r>
        <w:rPr>
          <w:rFonts w:hint="eastAsia" w:ascii="宋体" w:hAnsi="宋体"/>
          <w:sz w:val="24"/>
          <w:szCs w:val="24"/>
        </w:rPr>
        <w:t>2、负责协助甲方处理赛事组织期间所发生的意外事故；</w:t>
      </w:r>
    </w:p>
    <w:p>
      <w:pPr>
        <w:snapToGrid w:val="0"/>
        <w:spacing w:before="332" w:after="332"/>
        <w:outlineLvl w:val="1"/>
        <w:rPr>
          <w:rFonts w:ascii="宋体" w:hAnsi="宋体"/>
          <w:sz w:val="24"/>
          <w:szCs w:val="24"/>
        </w:rPr>
      </w:pPr>
      <w:r>
        <w:rPr>
          <w:rFonts w:hint="eastAsia" w:ascii="宋体" w:hAnsi="宋体"/>
          <w:sz w:val="24"/>
          <w:szCs w:val="24"/>
        </w:rPr>
        <w:t xml:space="preserve">3、负责为所有人员提供至少连锁快捷酒店住宿； </w:t>
      </w:r>
    </w:p>
    <w:p>
      <w:pPr>
        <w:snapToGrid w:val="0"/>
        <w:spacing w:before="332" w:after="332"/>
        <w:outlineLvl w:val="1"/>
        <w:rPr>
          <w:rFonts w:ascii="宋体" w:hAnsi="宋体"/>
          <w:sz w:val="24"/>
          <w:szCs w:val="24"/>
        </w:rPr>
      </w:pPr>
      <w:r>
        <w:rPr>
          <w:rFonts w:hint="eastAsia" w:ascii="宋体" w:hAnsi="宋体"/>
          <w:sz w:val="24"/>
          <w:szCs w:val="24"/>
        </w:rPr>
        <w:t>4、添置或租用满足比赛所需的各项办公及符合规则要求并通过认证的竞赛器材；</w:t>
      </w:r>
    </w:p>
    <w:p>
      <w:pPr>
        <w:snapToGrid w:val="0"/>
        <w:spacing w:before="332" w:after="332"/>
        <w:outlineLvl w:val="1"/>
        <w:rPr>
          <w:rFonts w:ascii="宋体" w:hAnsi="宋体"/>
          <w:sz w:val="24"/>
          <w:szCs w:val="24"/>
        </w:rPr>
      </w:pPr>
      <w:r>
        <w:rPr>
          <w:rFonts w:hint="eastAsia" w:ascii="宋体" w:hAnsi="宋体"/>
          <w:sz w:val="24"/>
          <w:szCs w:val="24"/>
        </w:rPr>
        <w:t xml:space="preserve">5、根据实际情况的需要安排足够的安保人员，确保竞赛场地内及周边地区以及裁判员、运动员住宿地安全； </w:t>
      </w:r>
    </w:p>
    <w:p>
      <w:pPr>
        <w:snapToGrid w:val="0"/>
        <w:spacing w:before="332" w:after="332"/>
        <w:outlineLvl w:val="1"/>
        <w:rPr>
          <w:rFonts w:ascii="宋体" w:hAnsi="宋体"/>
          <w:sz w:val="24"/>
          <w:szCs w:val="24"/>
        </w:rPr>
      </w:pPr>
      <w:r>
        <w:rPr>
          <w:rFonts w:hint="eastAsia" w:ascii="宋体" w:hAnsi="宋体"/>
          <w:sz w:val="24"/>
          <w:szCs w:val="24"/>
        </w:rPr>
        <w:t>6、 在竞赛区域设置医疗救助点。</w:t>
      </w:r>
    </w:p>
    <w:p>
      <w:pPr>
        <w:snapToGrid w:val="0"/>
        <w:spacing w:before="332" w:after="332"/>
        <w:outlineLvl w:val="1"/>
        <w:rPr>
          <w:rFonts w:ascii="宋体" w:hAnsi="宋体"/>
          <w:sz w:val="24"/>
          <w:szCs w:val="24"/>
        </w:rPr>
      </w:pPr>
      <w:r>
        <w:rPr>
          <w:rFonts w:hint="eastAsia" w:ascii="宋体" w:hAnsi="宋体"/>
          <w:sz w:val="24"/>
          <w:szCs w:val="24"/>
        </w:rPr>
        <w:t>7、根据竞赛规程的要求，完成秩序册的印刷工作；根据竞赛成绩，制作成绩册并发每参赛单位。</w:t>
      </w:r>
    </w:p>
    <w:p>
      <w:pPr>
        <w:snapToGrid w:val="0"/>
        <w:spacing w:before="332" w:after="332"/>
        <w:outlineLvl w:val="1"/>
        <w:rPr>
          <w:rFonts w:ascii="宋体" w:hAnsi="宋体"/>
          <w:sz w:val="24"/>
          <w:szCs w:val="24"/>
        </w:rPr>
      </w:pPr>
      <w:r>
        <w:rPr>
          <w:rFonts w:hint="eastAsia" w:ascii="宋体" w:hAnsi="宋体"/>
          <w:sz w:val="24"/>
          <w:szCs w:val="24"/>
        </w:rPr>
        <w:t>8、根据比赛秩序册的内容完成规定的所有比赛和活动；</w:t>
      </w:r>
    </w:p>
    <w:p>
      <w:pPr>
        <w:snapToGrid w:val="0"/>
        <w:spacing w:before="332" w:after="332"/>
        <w:outlineLvl w:val="1"/>
        <w:rPr>
          <w:rFonts w:ascii="宋体" w:hAnsi="宋体"/>
          <w:sz w:val="24"/>
          <w:szCs w:val="24"/>
        </w:rPr>
      </w:pPr>
      <w:r>
        <w:rPr>
          <w:rFonts w:hint="eastAsia" w:ascii="宋体" w:hAnsi="宋体"/>
          <w:sz w:val="24"/>
          <w:szCs w:val="24"/>
        </w:rPr>
        <w:t>9、比赛举办前期遇有重大疫情或突发性重大事件，致使比赛无法如期举行时，应配合甲方关于比赛的各项后续工作安排，确保赛事平稳举行。</w:t>
      </w:r>
    </w:p>
    <w:p>
      <w:pPr>
        <w:snapToGrid w:val="0"/>
        <w:spacing w:before="332" w:after="332"/>
        <w:outlineLvl w:val="1"/>
        <w:rPr>
          <w:rFonts w:ascii="宋体" w:hAnsi="宋体"/>
          <w:sz w:val="24"/>
          <w:szCs w:val="24"/>
        </w:rPr>
      </w:pPr>
      <w:r>
        <w:rPr>
          <w:rFonts w:hint="eastAsia" w:ascii="宋体" w:hAnsi="宋体"/>
          <w:sz w:val="24"/>
          <w:szCs w:val="24"/>
        </w:rPr>
        <w:t>（三）人员食宿安排：</w:t>
      </w:r>
    </w:p>
    <w:p>
      <w:pPr>
        <w:snapToGrid w:val="0"/>
        <w:spacing w:before="332" w:after="332"/>
        <w:outlineLvl w:val="1"/>
        <w:rPr>
          <w:rFonts w:ascii="宋体" w:hAnsi="宋体"/>
          <w:sz w:val="24"/>
          <w:szCs w:val="24"/>
        </w:rPr>
      </w:pPr>
      <w:r>
        <w:rPr>
          <w:rFonts w:hint="eastAsia" w:ascii="宋体" w:hAnsi="宋体"/>
          <w:sz w:val="24"/>
          <w:szCs w:val="24"/>
        </w:rPr>
        <w:t>1、参赛人员住宿安排：所有人员安排两人标间。</w:t>
      </w:r>
    </w:p>
    <w:p>
      <w:pPr>
        <w:snapToGrid w:val="0"/>
        <w:spacing w:before="332" w:after="332"/>
        <w:jc w:val="center"/>
        <w:outlineLvl w:val="1"/>
        <w:rPr>
          <w:rFonts w:ascii="宋体" w:hAnsi="宋体" w:cs="宋体"/>
          <w:kern w:val="0"/>
          <w:sz w:val="24"/>
          <w:szCs w:val="24"/>
        </w:rPr>
      </w:pPr>
      <w:r>
        <w:rPr>
          <w:rFonts w:hint="eastAsia" w:ascii="宋体" w:hAnsi="宋体"/>
          <w:sz w:val="24"/>
          <w:szCs w:val="24"/>
        </w:rPr>
        <w:t>2、三餐伙食标准合计不得低于70元/人。</w:t>
      </w:r>
      <w:r>
        <w:rPr>
          <w:rFonts w:hint="eastAsia" w:ascii="宋体" w:hAnsi="宋体" w:cs="宋体"/>
          <w:b/>
          <w:iCs/>
          <w:w w:val="80"/>
          <w:sz w:val="44"/>
          <w:szCs w:val="44"/>
        </w:rPr>
        <w:br w:type="page"/>
      </w:r>
      <w:r>
        <w:rPr>
          <w:rFonts w:hint="eastAsia" w:ascii="宋体" w:hAnsi="宋体" w:cs="宋体"/>
          <w:b/>
          <w:iCs/>
          <w:w w:val="80"/>
          <w:sz w:val="44"/>
          <w:szCs w:val="44"/>
        </w:rPr>
        <w:t xml:space="preserve">第四章  </w:t>
      </w:r>
      <w:bookmarkStart w:id="1" w:name="_Toc182848996"/>
      <w:bookmarkStart w:id="2" w:name="_Toc37322565"/>
      <w:bookmarkStart w:id="3" w:name="_Toc43217893"/>
      <w:bookmarkStart w:id="4" w:name="_Toc85627670"/>
      <w:bookmarkStart w:id="5" w:name="_Toc38121794"/>
      <w:r>
        <w:rPr>
          <w:rFonts w:hint="eastAsia" w:ascii="宋体" w:hAnsi="宋体" w:cs="宋体"/>
          <w:b/>
          <w:iCs/>
          <w:w w:val="80"/>
          <w:sz w:val="44"/>
          <w:szCs w:val="44"/>
        </w:rPr>
        <w:t>评审方法和程序</w:t>
      </w:r>
    </w:p>
    <w:bookmarkEnd w:id="1"/>
    <w:bookmarkEnd w:id="2"/>
    <w:bookmarkEnd w:id="3"/>
    <w:bookmarkEnd w:id="4"/>
    <w:bookmarkEnd w:id="5"/>
    <w:p>
      <w:pPr>
        <w:snapToGrid w:val="0"/>
        <w:spacing w:line="480" w:lineRule="exact"/>
        <w:ind w:firstLine="482" w:firstLineChars="200"/>
        <w:outlineLvl w:val="1"/>
        <w:rPr>
          <w:rFonts w:ascii="宋体" w:hAnsi="宋体" w:cs="宋体"/>
          <w:b/>
          <w:sz w:val="24"/>
          <w:szCs w:val="24"/>
        </w:rPr>
      </w:pPr>
      <w:bookmarkStart w:id="6" w:name="_Toc363573857"/>
      <w:bookmarkEnd w:id="6"/>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一、代理机构组织磋商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1、本次竞争性磋商依据《中华人民共和国政府采购法》、《政府采购竞争性磋商采购方式管理暂行办法》及有关法规成立磋商小组。磋商小组由采购人代表和评审专家共3人以上单数组成。</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2、磋商小组的职责：</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（3）磋商小组成员在评审过程中发现供应商有行贿、提供虚假材料或者串通等违法行为的，应当及时向财政部门报告。</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（4）磋商小组成员在评审过程中受到非法干涉的，应当及时向财政、监察等部门举报。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（5）配合采购单位答复供应商提出的质疑；配合财政部门的投诉处理和监督检查工作。</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3、评审有关记录由磋商小组成员签名，存档备查。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4、供应商的法定代表人或被授权人须持身份证准时参加磋商开标会。</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二、磋商的原则及方法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4" w:firstLineChars="202"/>
        <w:rPr>
          <w:rFonts w:ascii="宋体" w:hAnsi="宋体" w:cs="宋体"/>
          <w:sz w:val="24"/>
          <w:szCs w:val="24"/>
        </w:rPr>
      </w:pPr>
      <w:r>
        <w:rPr>
          <w:rFonts w:hint="eastAsia" w:ascii="宋体" w:hAnsi="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4、磋商小组所有成员应当集中与单一供应商分别进行磋商，并给予所有参加磋商的供应商平等的磋商机会。</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6、对磋商文件作出的实质性变动是磋商文件的有效组成部分，磋商小组应当及时以书面形式同时通知所有参加磋商的供应商。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10、除非在磋商中磋商小组对采购单位需求内容作了调整增加，或对采购内容作了实质性变更，否则</w:t>
      </w:r>
      <w:r>
        <w:rPr>
          <w:rFonts w:hint="eastAsia" w:ascii="宋体" w:hAnsi="宋体" w:cs="宋体"/>
          <w:b/>
          <w:sz w:val="24"/>
          <w:szCs w:val="24"/>
        </w:rPr>
        <w:t>采购单位不接受供应商高于自己前一轮的磋商报价</w:t>
      </w:r>
      <w:r>
        <w:rPr>
          <w:rFonts w:hint="eastAsia" w:ascii="宋体" w:hAnsi="宋体" w:cs="宋体"/>
          <w:sz w:val="24"/>
          <w:szCs w:val="24"/>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11、对于在磋商顺利开始后至最终报价前，根据磋商情况退出磋商的供应商，须以书面形式说明退出磋商的原因，经磋商小组同意可以退出磋商。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12、在磋商中，磋商的任何一方不得透露与磋商有关的其他响应磋商的供应商的技术资料、价格及其他信息。</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13、单位负责人为同一人或者存在直接控股、管理关系的不同供应商，都不得在同一采购项目相同标段中同时参加磋商，一经发现，将视同围标处理。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0" w:firstLineChars="200"/>
        <w:rPr>
          <w:rFonts w:ascii="宋体" w:hAnsi="宋体" w:cs="宋体"/>
          <w:sz w:val="24"/>
          <w:szCs w:val="24"/>
        </w:rPr>
      </w:pPr>
      <w:r>
        <w:rPr>
          <w:rFonts w:hint="eastAsia" w:ascii="宋体" w:hAnsi="宋体" w:cs="宋体"/>
          <w:color w:val="C00000"/>
          <w:sz w:val="24"/>
          <w:szCs w:val="24"/>
        </w:rPr>
        <w:t>15、</w:t>
      </w:r>
      <w:r>
        <w:rPr>
          <w:rFonts w:hint="eastAsia" w:ascii="宋体" w:hAnsi="宋体" w:cs="宋体"/>
          <w:b/>
          <w:bCs/>
          <w:color w:val="C00000"/>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三、磋商评定结果的方法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
          <w:sz w:val="24"/>
          <w:szCs w:val="24"/>
          <w:u w:val="single"/>
        </w:rPr>
        <w:t>经磋商确定最终采购需求和提交最后报价的供应商后，</w:t>
      </w:r>
      <w:r>
        <w:rPr>
          <w:rFonts w:hint="eastAsia" w:ascii="宋体" w:hAnsi="宋体" w:cs="宋体"/>
          <w:sz w:val="24"/>
          <w:szCs w:val="24"/>
        </w:rPr>
        <w:t>由磋商小组采用综合评分法</w:t>
      </w:r>
      <w:r>
        <w:rPr>
          <w:rFonts w:hint="eastAsia" w:ascii="宋体" w:hAnsi="宋体" w:cs="宋体"/>
          <w:b/>
          <w:sz w:val="24"/>
          <w:szCs w:val="24"/>
          <w:u w:val="single"/>
        </w:rPr>
        <w:t>对提交最后报价的供应商的响应文件和最后报价</w:t>
      </w:r>
      <w:r>
        <w:rPr>
          <w:rFonts w:hint="eastAsia" w:ascii="宋体" w:hAnsi="宋体" w:cs="宋体"/>
          <w:sz w:val="24"/>
          <w:szCs w:val="24"/>
        </w:rPr>
        <w:t>进行综合评分。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 xml:space="preserve">3、本次项目磋商的技术和商务报价评审总分值为100分。两部分评审因素比重如下： </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技术分值占总分值的比重为</w:t>
      </w:r>
      <w:r>
        <w:rPr>
          <w:rFonts w:hint="eastAsia" w:ascii="宋体" w:hAnsi="宋体" w:cs="宋体"/>
          <w:b/>
          <w:sz w:val="24"/>
          <w:szCs w:val="24"/>
          <w:u w:val="single"/>
        </w:rPr>
        <w:t>70%（权重）</w:t>
      </w:r>
      <w:r>
        <w:rPr>
          <w:rFonts w:hint="eastAsia" w:ascii="宋体" w:hAnsi="宋体" w:cs="宋体"/>
          <w:sz w:val="24"/>
          <w:szCs w:val="24"/>
        </w:rPr>
        <w:t>（四舍五入保留两位小数）；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商务报价分值占总分值的比重为</w:t>
      </w:r>
      <w:r>
        <w:rPr>
          <w:rFonts w:hint="eastAsia" w:ascii="宋体" w:hAnsi="宋体" w:cs="宋体"/>
          <w:b/>
          <w:sz w:val="24"/>
          <w:szCs w:val="24"/>
          <w:u w:val="single"/>
        </w:rPr>
        <w:t>30%（权重）</w:t>
      </w:r>
      <w:r>
        <w:rPr>
          <w:rFonts w:hint="eastAsia" w:ascii="宋体" w:hAnsi="宋体" w:cs="宋体"/>
          <w:sz w:val="24"/>
          <w:szCs w:val="24"/>
        </w:rPr>
        <w:t>（四舍五入保留两位小数）。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4、技术分按算术平均值计算，分值四舍五入保留两位小数。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5、商务报价分统一采用低价优先法计算直接取得，与技术分相加为供应商的综合得分（四舍五入保留两位小数）。</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6、综合得分最高的供应商推荐为项目预成交人并出具评审磋商报告。</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7、确定成交候选人的特殊情况处理：</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（1）若总分相同，则按最终报价响应得分高者优先中标。</w:t>
      </w:r>
    </w:p>
    <w:p>
      <w:pPr>
        <w:snapToGrid w:val="0"/>
        <w:spacing w:line="480" w:lineRule="exact"/>
        <w:ind w:firstLine="480" w:firstLineChars="200"/>
        <w:outlineLvl w:val="1"/>
        <w:rPr>
          <w:rFonts w:ascii="宋体" w:hAnsi="宋体" w:cs="宋体"/>
          <w:sz w:val="24"/>
          <w:szCs w:val="24"/>
        </w:rPr>
      </w:pPr>
      <w:r>
        <w:rPr>
          <w:rFonts w:hint="eastAsia" w:ascii="宋体" w:hAnsi="宋体" w:cs="宋体"/>
          <w:sz w:val="24"/>
          <w:szCs w:val="24"/>
        </w:rPr>
        <w:t>（2）若总分且最终报价响应得分相同，则采取现场抽签的方式确定（投标供应商的抽签顺序分别为各投标供应商递交响应文件签到顺序号）。</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9、对落标的供应商不做落标原因的解释。</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四、综合评分评审标准</w:t>
      </w:r>
    </w:p>
    <w:p>
      <w:pPr>
        <w:snapToGrid w:val="0"/>
        <w:spacing w:line="480" w:lineRule="exact"/>
        <w:ind w:firstLine="484" w:firstLineChars="202"/>
        <w:outlineLvl w:val="2"/>
        <w:rPr>
          <w:rFonts w:ascii="宋体" w:hAnsi="宋体" w:cs="宋体"/>
          <w:sz w:val="24"/>
          <w:szCs w:val="24"/>
        </w:rPr>
      </w:pPr>
      <w:r>
        <w:rPr>
          <w:rFonts w:hint="eastAsia" w:ascii="宋体" w:hAnsi="宋体" w:cs="宋体"/>
          <w:sz w:val="24"/>
          <w:szCs w:val="24"/>
        </w:rPr>
        <w:t>（一）技术分：（70分）</w:t>
      </w:r>
    </w:p>
    <w:p>
      <w:pPr>
        <w:snapToGrid w:val="0"/>
        <w:spacing w:line="480" w:lineRule="exact"/>
        <w:ind w:firstLine="484" w:firstLineChars="202"/>
        <w:outlineLvl w:val="2"/>
        <w:rPr>
          <w:rFonts w:ascii="宋体" w:hAnsi="宋体" w:cs="宋体"/>
          <w:sz w:val="24"/>
          <w:szCs w:val="24"/>
        </w:rPr>
      </w:pPr>
    </w:p>
    <w:p>
      <w:pPr>
        <w:snapToGrid w:val="0"/>
        <w:spacing w:line="480" w:lineRule="exact"/>
        <w:ind w:firstLine="484" w:firstLineChars="202"/>
        <w:outlineLvl w:val="2"/>
        <w:rPr>
          <w:rFonts w:ascii="宋体" w:hAnsi="宋体" w:cs="宋体"/>
          <w:sz w:val="24"/>
          <w:szCs w:val="24"/>
        </w:rPr>
      </w:pPr>
      <w:r>
        <w:rPr>
          <w:rFonts w:hint="eastAsia" w:ascii="宋体" w:hAnsi="宋体" w:cs="宋体"/>
          <w:sz w:val="24"/>
          <w:szCs w:val="24"/>
        </w:rPr>
        <w:br w:type="page"/>
      </w:r>
    </w:p>
    <w:tbl>
      <w:tblPr>
        <w:tblStyle w:val="22"/>
        <w:tblpPr w:leftFromText="180" w:rightFromText="180" w:vertAnchor="text" w:horzAnchor="page" w:tblpX="994" w:tblpY="327"/>
        <w:tblOverlap w:val="never"/>
        <w:tblW w:w="1005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1373"/>
        <w:gridCol w:w="1052"/>
        <w:gridCol w:w="76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28" w:hRule="atLeast"/>
        </w:trPr>
        <w:tc>
          <w:tcPr>
            <w:tcW w:w="2425" w:type="dxa"/>
            <w:gridSpan w:val="2"/>
            <w:tcBorders>
              <w:top w:val="double" w:color="auto" w:sz="4" w:space="0"/>
              <w:bottom w:val="single" w:color="auto" w:sz="6" w:space="0"/>
            </w:tcBorders>
            <w:vAlign w:val="center"/>
          </w:tcPr>
          <w:p>
            <w:pPr>
              <w:jc w:val="center"/>
              <w:rPr>
                <w:rFonts w:ascii="宋体" w:hAnsi="宋体" w:cs="宋体"/>
                <w:sz w:val="24"/>
                <w:szCs w:val="24"/>
              </w:rPr>
            </w:pPr>
            <w:r>
              <w:rPr>
                <w:rFonts w:hint="eastAsia" w:ascii="宋体" w:hAnsi="宋体"/>
                <w:sz w:val="24"/>
                <w:szCs w:val="24"/>
              </w:rPr>
              <w:t>评分内容</w:t>
            </w:r>
          </w:p>
        </w:tc>
        <w:tc>
          <w:tcPr>
            <w:tcW w:w="7626" w:type="dxa"/>
            <w:tcBorders>
              <w:top w:val="double" w:color="auto" w:sz="4" w:space="0"/>
              <w:bottom w:val="single" w:color="auto" w:sz="6" w:space="0"/>
            </w:tcBorders>
            <w:vAlign w:val="center"/>
          </w:tcPr>
          <w:p>
            <w:pPr>
              <w:jc w:val="center"/>
              <w:rPr>
                <w:rFonts w:ascii="宋体" w:hAnsi="宋体" w:cs="宋体"/>
                <w:sz w:val="24"/>
                <w:szCs w:val="24"/>
              </w:rPr>
            </w:pPr>
            <w:r>
              <w:rPr>
                <w:rFonts w:hint="eastAsia" w:ascii="宋体" w:hAnsi="宋体"/>
                <w:sz w:val="24"/>
                <w:szCs w:val="24"/>
              </w:rPr>
              <w:t>项   　　 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643" w:hRule="atLeast"/>
        </w:trPr>
        <w:tc>
          <w:tcPr>
            <w:tcW w:w="1373" w:type="dxa"/>
            <w:vMerge w:val="restart"/>
            <w:tcBorders>
              <w:top w:val="single" w:color="auto" w:sz="6" w:space="0"/>
              <w:right w:val="single" w:color="auto" w:sz="4" w:space="0"/>
            </w:tcBorders>
            <w:vAlign w:val="center"/>
          </w:tcPr>
          <w:p>
            <w:pPr>
              <w:jc w:val="center"/>
              <w:rPr>
                <w:rFonts w:ascii="宋体" w:hAnsi="宋体"/>
                <w:sz w:val="24"/>
                <w:szCs w:val="24"/>
              </w:rPr>
            </w:pPr>
            <w:r>
              <w:rPr>
                <w:rFonts w:hint="eastAsia" w:ascii="宋体" w:hAnsi="宋体"/>
                <w:sz w:val="24"/>
                <w:szCs w:val="24"/>
              </w:rPr>
              <w:t>业绩</w:t>
            </w:r>
          </w:p>
          <w:p>
            <w:pPr>
              <w:jc w:val="center"/>
              <w:rPr>
                <w:rFonts w:ascii="宋体" w:hAnsi="宋体"/>
                <w:sz w:val="24"/>
                <w:szCs w:val="24"/>
              </w:rPr>
            </w:pPr>
            <w:r>
              <w:rPr>
                <w:rFonts w:hint="eastAsia" w:ascii="宋体" w:hAnsi="宋体"/>
                <w:sz w:val="24"/>
                <w:szCs w:val="24"/>
              </w:rPr>
              <w:t>（30分）</w:t>
            </w:r>
          </w:p>
        </w:tc>
        <w:tc>
          <w:tcPr>
            <w:tcW w:w="1052" w:type="dxa"/>
            <w:tcBorders>
              <w:top w:val="single" w:color="auto" w:sz="6" w:space="0"/>
              <w:left w:val="single" w:color="auto" w:sz="4" w:space="0"/>
              <w:bottom w:val="single" w:color="auto" w:sz="4" w:space="0"/>
            </w:tcBorders>
            <w:vAlign w:val="center"/>
          </w:tcPr>
          <w:p>
            <w:pPr>
              <w:widowControl/>
              <w:jc w:val="left"/>
              <w:rPr>
                <w:rFonts w:ascii="宋体" w:hAnsi="宋体"/>
                <w:sz w:val="24"/>
                <w:szCs w:val="24"/>
              </w:rPr>
            </w:pPr>
          </w:p>
          <w:p>
            <w:pPr>
              <w:jc w:val="center"/>
              <w:rPr>
                <w:rFonts w:ascii="宋体" w:hAnsi="宋体"/>
                <w:sz w:val="24"/>
                <w:szCs w:val="24"/>
              </w:rPr>
            </w:pPr>
            <w:r>
              <w:rPr>
                <w:rFonts w:hint="eastAsia" w:ascii="宋体" w:hAnsi="宋体"/>
                <w:sz w:val="24"/>
                <w:szCs w:val="24"/>
              </w:rPr>
              <w:t>业绩1</w:t>
            </w:r>
          </w:p>
          <w:p>
            <w:pPr>
              <w:jc w:val="center"/>
              <w:rPr>
                <w:rFonts w:ascii="宋体" w:hAnsi="宋体"/>
                <w:sz w:val="24"/>
                <w:szCs w:val="24"/>
              </w:rPr>
            </w:pPr>
            <w:r>
              <w:rPr>
                <w:rFonts w:hint="eastAsia" w:ascii="宋体" w:hAnsi="宋体"/>
                <w:sz w:val="24"/>
                <w:szCs w:val="24"/>
              </w:rPr>
              <w:t>（20）</w:t>
            </w:r>
          </w:p>
        </w:tc>
        <w:tc>
          <w:tcPr>
            <w:tcW w:w="7626" w:type="dxa"/>
            <w:tcBorders>
              <w:top w:val="single" w:color="auto" w:sz="6" w:space="0"/>
              <w:bottom w:val="single" w:color="auto" w:sz="6" w:space="0"/>
            </w:tcBorders>
            <w:vAlign w:val="center"/>
          </w:tcPr>
          <w:p>
            <w:pPr>
              <w:rPr>
                <w:rFonts w:ascii="宋体" w:hAnsi="宋体"/>
                <w:sz w:val="24"/>
                <w:szCs w:val="24"/>
              </w:rPr>
            </w:pPr>
            <w:r>
              <w:rPr>
                <w:rFonts w:hint="eastAsia" w:ascii="宋体" w:hAnsi="宋体"/>
                <w:sz w:val="24"/>
                <w:szCs w:val="24"/>
              </w:rPr>
              <w:t>投标文件中提供投标人，2016年1月1日至今承办市级体育主管部门组织的游泳赛事的，有1次得10分，省级及以上体育主管部门组织的游泳赛事的，每有1次得15分，提供复印件投标时需加盖所投品牌公司公章。满分20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310" w:hRule="atLeast"/>
        </w:trPr>
        <w:tc>
          <w:tcPr>
            <w:tcW w:w="1373" w:type="dxa"/>
            <w:vMerge w:val="continue"/>
            <w:tcBorders>
              <w:right w:val="single" w:color="auto" w:sz="4" w:space="0"/>
            </w:tcBorders>
            <w:vAlign w:val="center"/>
          </w:tcPr>
          <w:p>
            <w:pPr>
              <w:jc w:val="center"/>
              <w:rPr>
                <w:rFonts w:ascii="宋体" w:hAnsi="宋体"/>
                <w:sz w:val="24"/>
                <w:szCs w:val="24"/>
              </w:rPr>
            </w:pPr>
          </w:p>
        </w:tc>
        <w:tc>
          <w:tcPr>
            <w:tcW w:w="1052" w:type="dxa"/>
            <w:tcBorders>
              <w:top w:val="single" w:color="auto" w:sz="4" w:space="0"/>
              <w:left w:val="single" w:color="auto" w:sz="4" w:space="0"/>
            </w:tcBorders>
            <w:vAlign w:val="center"/>
          </w:tcPr>
          <w:p>
            <w:pPr>
              <w:jc w:val="center"/>
              <w:rPr>
                <w:rFonts w:ascii="宋体" w:hAnsi="宋体"/>
                <w:sz w:val="24"/>
                <w:szCs w:val="24"/>
              </w:rPr>
            </w:pPr>
            <w:r>
              <w:rPr>
                <w:rFonts w:hint="eastAsia" w:ascii="宋体" w:hAnsi="宋体"/>
                <w:sz w:val="24"/>
                <w:szCs w:val="24"/>
              </w:rPr>
              <w:t>业绩2</w:t>
            </w:r>
          </w:p>
          <w:p>
            <w:pPr>
              <w:jc w:val="center"/>
              <w:rPr>
                <w:rFonts w:ascii="宋体" w:hAnsi="宋体"/>
                <w:sz w:val="24"/>
                <w:szCs w:val="24"/>
              </w:rPr>
            </w:pPr>
            <w:r>
              <w:rPr>
                <w:rFonts w:hint="eastAsia" w:ascii="宋体" w:hAnsi="宋体"/>
                <w:sz w:val="24"/>
                <w:szCs w:val="24"/>
              </w:rPr>
              <w:t>（10）</w:t>
            </w:r>
          </w:p>
        </w:tc>
        <w:tc>
          <w:tcPr>
            <w:tcW w:w="7626" w:type="dxa"/>
            <w:tcBorders>
              <w:top w:val="single" w:color="auto" w:sz="6" w:space="0"/>
            </w:tcBorders>
            <w:vAlign w:val="center"/>
          </w:tcPr>
          <w:p>
            <w:pPr>
              <w:rPr>
                <w:rFonts w:ascii="宋体" w:hAnsi="宋体"/>
                <w:sz w:val="24"/>
                <w:szCs w:val="24"/>
              </w:rPr>
            </w:pPr>
            <w:r>
              <w:rPr>
                <w:rFonts w:hint="eastAsia" w:ascii="宋体" w:hAnsi="宋体"/>
                <w:sz w:val="24"/>
                <w:szCs w:val="24"/>
              </w:rPr>
              <w:t>投标文件中提供投标人，2016年1月1日至今承办</w:t>
            </w:r>
            <w:r>
              <w:rPr>
                <w:rFonts w:hint="eastAsia" w:ascii="宋体" w:hAnsi="宋体" w:cs="宋体"/>
                <w:color w:val="FF0000"/>
                <w:sz w:val="24"/>
                <w:szCs w:val="24"/>
              </w:rPr>
              <w:t>与本项目相似的市级</w:t>
            </w:r>
            <w:r>
              <w:rPr>
                <w:rFonts w:hint="eastAsia" w:ascii="宋体" w:hAnsi="宋体"/>
                <w:sz w:val="24"/>
                <w:szCs w:val="24"/>
              </w:rPr>
              <w:t>游泳赛事的，有1次得3分；省级及以上游泳赛事的，有1次得5分。满分10分。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608" w:hRule="atLeast"/>
        </w:trPr>
        <w:tc>
          <w:tcPr>
            <w:tcW w:w="2425" w:type="dxa"/>
            <w:gridSpan w:val="2"/>
            <w:tcBorders>
              <w:top w:val="single" w:color="auto" w:sz="6" w:space="0"/>
              <w:bottom w:val="single" w:color="auto" w:sz="6" w:space="0"/>
            </w:tcBorders>
            <w:vAlign w:val="center"/>
          </w:tcPr>
          <w:p>
            <w:pPr>
              <w:jc w:val="center"/>
              <w:rPr>
                <w:rFonts w:ascii="宋体" w:hAnsi="宋体"/>
                <w:sz w:val="24"/>
                <w:szCs w:val="24"/>
              </w:rPr>
            </w:pPr>
            <w:r>
              <w:rPr>
                <w:rFonts w:hint="eastAsia" w:ascii="宋体" w:hAnsi="宋体"/>
                <w:sz w:val="24"/>
                <w:szCs w:val="24"/>
              </w:rPr>
              <w:t>场地设施</w:t>
            </w:r>
          </w:p>
          <w:p>
            <w:pPr>
              <w:jc w:val="center"/>
              <w:rPr>
                <w:rFonts w:ascii="宋体" w:hAnsi="宋体"/>
                <w:sz w:val="24"/>
                <w:szCs w:val="24"/>
              </w:rPr>
            </w:pPr>
            <w:r>
              <w:rPr>
                <w:rFonts w:hint="eastAsia" w:ascii="宋体" w:hAnsi="宋体"/>
                <w:sz w:val="24"/>
                <w:szCs w:val="24"/>
              </w:rPr>
              <w:t>（15分）</w:t>
            </w:r>
          </w:p>
        </w:tc>
        <w:tc>
          <w:tcPr>
            <w:tcW w:w="7626" w:type="dxa"/>
            <w:tcBorders>
              <w:top w:val="single" w:color="auto" w:sz="6" w:space="0"/>
              <w:bottom w:val="single" w:color="auto" w:sz="6" w:space="0"/>
            </w:tcBorders>
            <w:vAlign w:val="center"/>
          </w:tcPr>
          <w:p>
            <w:pPr>
              <w:rPr>
                <w:rFonts w:ascii="宋体" w:hAnsi="宋体"/>
                <w:sz w:val="24"/>
                <w:szCs w:val="24"/>
              </w:rPr>
            </w:pPr>
            <w:r>
              <w:rPr>
                <w:rFonts w:hint="eastAsia" w:ascii="宋体" w:hAnsi="宋体"/>
                <w:sz w:val="24"/>
                <w:szCs w:val="24"/>
              </w:rPr>
              <w:t>投标人拥有符合招标文件要求的游泳比赛场馆和比赛器材的得15分；租用比赛场馆及器材的得10分。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464" w:hRule="atLeast"/>
        </w:trPr>
        <w:tc>
          <w:tcPr>
            <w:tcW w:w="2425" w:type="dxa"/>
            <w:gridSpan w:val="2"/>
            <w:tcBorders>
              <w:top w:val="single" w:color="auto" w:sz="6" w:space="0"/>
              <w:bottom w:val="single" w:color="auto" w:sz="6" w:space="0"/>
            </w:tcBorders>
            <w:vAlign w:val="center"/>
          </w:tcPr>
          <w:p>
            <w:pPr>
              <w:jc w:val="center"/>
              <w:rPr>
                <w:rFonts w:ascii="宋体" w:hAnsi="宋体" w:cs="仿宋_GB2312"/>
                <w:sz w:val="24"/>
                <w:szCs w:val="24"/>
              </w:rPr>
            </w:pPr>
            <w:r>
              <w:rPr>
                <w:rFonts w:hint="eastAsia" w:ascii="宋体" w:hAnsi="宋体" w:cs="仿宋_GB2312"/>
                <w:sz w:val="24"/>
                <w:szCs w:val="24"/>
              </w:rPr>
              <w:t>赛事方案</w:t>
            </w:r>
          </w:p>
          <w:p>
            <w:pPr>
              <w:jc w:val="center"/>
              <w:rPr>
                <w:rFonts w:ascii="宋体" w:hAnsi="宋体" w:cs="仿宋_GB2312"/>
                <w:color w:val="FF0000"/>
                <w:sz w:val="24"/>
                <w:szCs w:val="24"/>
              </w:rPr>
            </w:pPr>
            <w:r>
              <w:rPr>
                <w:rFonts w:hint="eastAsia" w:ascii="宋体" w:hAnsi="宋体" w:cs="仿宋_GB2312"/>
                <w:sz w:val="24"/>
                <w:szCs w:val="24"/>
              </w:rPr>
              <w:t>（</w:t>
            </w:r>
            <w:r>
              <w:rPr>
                <w:rFonts w:ascii="宋体" w:hAnsi="宋体" w:cs="仿宋_GB2312"/>
                <w:sz w:val="24"/>
                <w:szCs w:val="24"/>
              </w:rPr>
              <w:t>1</w:t>
            </w:r>
            <w:r>
              <w:rPr>
                <w:rFonts w:hint="eastAsia" w:ascii="宋体" w:hAnsi="宋体" w:cs="仿宋_GB2312"/>
                <w:sz w:val="24"/>
                <w:szCs w:val="24"/>
              </w:rPr>
              <w:t>5分）</w:t>
            </w:r>
          </w:p>
        </w:tc>
        <w:tc>
          <w:tcPr>
            <w:tcW w:w="7626" w:type="dxa"/>
            <w:tcBorders>
              <w:top w:val="single" w:color="auto" w:sz="6" w:space="0"/>
              <w:bottom w:val="single" w:color="auto" w:sz="6" w:space="0"/>
            </w:tcBorders>
            <w:vAlign w:val="center"/>
          </w:tcPr>
          <w:p>
            <w:pPr>
              <w:rPr>
                <w:rFonts w:ascii="宋体" w:hAnsi="宋体" w:cs="仿宋_GB2312"/>
                <w:b/>
                <w:bCs/>
                <w:color w:val="FF0000"/>
                <w:sz w:val="24"/>
                <w:szCs w:val="24"/>
              </w:rPr>
            </w:pPr>
            <w:r>
              <w:rPr>
                <w:rFonts w:hint="eastAsia" w:ascii="宋体" w:hAnsi="宋体" w:cs="仿宋_GB2312"/>
                <w:sz w:val="24"/>
                <w:szCs w:val="24"/>
              </w:rPr>
              <w:t>赛事组织方案科学、合理、细致，具体细化方案有创意、可操作。优得10-15分，良得5-8分，一般得0-4分。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374" w:hRule="atLeast"/>
        </w:trPr>
        <w:tc>
          <w:tcPr>
            <w:tcW w:w="2425" w:type="dxa"/>
            <w:gridSpan w:val="2"/>
            <w:tcBorders>
              <w:top w:val="single" w:color="auto" w:sz="6" w:space="0"/>
              <w:bottom w:val="single" w:color="auto" w:sz="6" w:space="0"/>
            </w:tcBorders>
            <w:vAlign w:val="center"/>
          </w:tcPr>
          <w:p>
            <w:pPr>
              <w:jc w:val="center"/>
              <w:rPr>
                <w:rFonts w:ascii="宋体" w:hAnsi="宋体" w:cs="宋体"/>
                <w:color w:val="000000"/>
                <w:sz w:val="24"/>
                <w:szCs w:val="24"/>
              </w:rPr>
            </w:pPr>
            <w:r>
              <w:rPr>
                <w:rFonts w:hint="eastAsia" w:ascii="宋体" w:hAnsi="宋体" w:cs="宋体"/>
                <w:color w:val="000000"/>
                <w:sz w:val="24"/>
                <w:szCs w:val="24"/>
              </w:rPr>
              <w:t>安保方案</w:t>
            </w:r>
          </w:p>
          <w:p>
            <w:pPr>
              <w:jc w:val="center"/>
              <w:rPr>
                <w:rFonts w:ascii="宋体" w:hAnsi="宋体" w:cs="宋体"/>
                <w:color w:val="000000"/>
                <w:sz w:val="24"/>
                <w:szCs w:val="24"/>
              </w:rPr>
            </w:pPr>
            <w:r>
              <w:rPr>
                <w:rFonts w:hint="eastAsia" w:ascii="宋体" w:hAnsi="宋体" w:cs="宋体"/>
                <w:color w:val="000000"/>
                <w:sz w:val="24"/>
                <w:szCs w:val="24"/>
              </w:rPr>
              <w:t>（10）</w:t>
            </w:r>
          </w:p>
        </w:tc>
        <w:tc>
          <w:tcPr>
            <w:tcW w:w="7626" w:type="dxa"/>
            <w:tcBorders>
              <w:top w:val="single" w:color="auto" w:sz="6" w:space="0"/>
              <w:bottom w:val="single" w:color="auto" w:sz="6" w:space="0"/>
            </w:tcBorders>
            <w:vAlign w:val="center"/>
          </w:tcPr>
          <w:p>
            <w:pPr>
              <w:rPr>
                <w:rFonts w:ascii="宋体" w:hAnsi="宋体" w:cs="宋体"/>
                <w:color w:val="000000"/>
                <w:sz w:val="24"/>
                <w:szCs w:val="24"/>
              </w:rPr>
            </w:pPr>
            <w:r>
              <w:rPr>
                <w:rFonts w:hint="eastAsia" w:ascii="宋体" w:hAnsi="宋体" w:cs="宋体"/>
                <w:color w:val="000000"/>
                <w:sz w:val="24"/>
                <w:szCs w:val="24"/>
              </w:rPr>
              <w:t>安保方案是否周密，应急措施是否有效。优得8-10分，良得6-7分，</w:t>
            </w:r>
            <w:r>
              <w:rPr>
                <w:rFonts w:hint="eastAsia" w:ascii="宋体" w:hAnsi="宋体" w:cs="仿宋_GB2312"/>
                <w:sz w:val="24"/>
                <w:szCs w:val="24"/>
              </w:rPr>
              <w:t>一般得0-3</w:t>
            </w:r>
          </w:p>
        </w:tc>
      </w:tr>
    </w:tbl>
    <w:p/>
    <w:p>
      <w:pPr>
        <w:snapToGrid w:val="0"/>
        <w:spacing w:line="520" w:lineRule="exact"/>
        <w:ind w:firstLine="484" w:firstLineChars="202"/>
        <w:outlineLvl w:val="2"/>
        <w:rPr>
          <w:rFonts w:ascii="宋体" w:hAnsi="宋体" w:cs="宋体"/>
          <w:sz w:val="24"/>
          <w:szCs w:val="24"/>
        </w:rPr>
      </w:pPr>
    </w:p>
    <w:p>
      <w:pPr>
        <w:snapToGrid w:val="0"/>
        <w:spacing w:line="520" w:lineRule="exact"/>
        <w:ind w:firstLine="484" w:firstLineChars="202"/>
        <w:outlineLvl w:val="2"/>
        <w:rPr>
          <w:rFonts w:ascii="宋体" w:hAnsi="宋体" w:cs="宋体"/>
          <w:sz w:val="24"/>
          <w:szCs w:val="24"/>
        </w:rPr>
      </w:pPr>
      <w:r>
        <w:rPr>
          <w:rFonts w:hint="eastAsia" w:ascii="宋体" w:hAnsi="宋体" w:cs="宋体"/>
          <w:sz w:val="24"/>
          <w:szCs w:val="24"/>
        </w:rPr>
        <w:t>（二）商务报价分：（30分）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1、满足磋商文件要求且最后报价最低的供应商的价格为磋商基准价，其商务报价分为满分。其他供应商的商务报价分统一按照下列公式计算：</w:t>
      </w:r>
    </w:p>
    <w:p>
      <w:pPr>
        <w:snapToGrid w:val="0"/>
        <w:spacing w:line="480" w:lineRule="exact"/>
        <w:ind w:firstLine="482" w:firstLineChars="200"/>
        <w:rPr>
          <w:rFonts w:ascii="宋体" w:hAnsi="宋体" w:cs="宋体"/>
          <w:b/>
          <w:sz w:val="24"/>
          <w:szCs w:val="24"/>
        </w:rPr>
      </w:pPr>
      <w:r>
        <w:rPr>
          <w:rFonts w:hint="eastAsia" w:ascii="宋体" w:hAnsi="宋体" w:cs="宋体"/>
          <w:b/>
          <w:sz w:val="24"/>
          <w:szCs w:val="24"/>
        </w:rPr>
        <w:t>商务报价分 =（磋商基准价/最后磋商报价）×30%×100</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五、出现下列情形之一的，作无效标处理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1、未按规定时间、数额、规定形式提交磋商保证金的；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2、响应文件未按规定要求装订、密封、签署、盖章及主要资料不齐全的；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3、响应文件的资料有虚报或者谎报的；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4、响应文件中资格审查文件及技术响应文件出现磋商报价的内容；</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5、不具备磋商文件规定的资格要求的；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6、响应文件有重大漏项或重大不合理的；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7、项目技术、方案不满足项目需求中的要求，有重大偏离或保留的；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8、磋商响应报价超出项目预算的；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9、被认定为低于成本报价磋商竞标的；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10、供应商的磋商报价高于自己前一轮的；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11、不符合法律、法规和磋商文件中规定的其他实质性响应要求的；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12、磋商小组依据法律法规可以认定为无效投标的其他情况。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六、出现下列情形之一的，作废标处理</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1、供应商的报价均超出了采购预算，采购单位不能支付的；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2、因情况变化，不再符合规定的竞争性磋商采购方式所适用情形的；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3、出现影响采购公正的违法、违规行为的；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5、磋商小组依据法律法规可以认定为废标的其他情况。</w:t>
      </w:r>
    </w:p>
    <w:p>
      <w:pPr>
        <w:snapToGrid w:val="0"/>
        <w:spacing w:line="480" w:lineRule="exact"/>
        <w:ind w:firstLine="482" w:firstLineChars="200"/>
        <w:outlineLvl w:val="1"/>
        <w:rPr>
          <w:rFonts w:ascii="宋体" w:hAnsi="宋体" w:cs="宋体"/>
          <w:b/>
          <w:sz w:val="24"/>
          <w:szCs w:val="24"/>
        </w:rPr>
      </w:pPr>
      <w:r>
        <w:rPr>
          <w:rFonts w:hint="eastAsia" w:ascii="宋体" w:hAnsi="宋体" w:cs="宋体"/>
          <w:b/>
          <w:sz w:val="24"/>
          <w:szCs w:val="24"/>
        </w:rPr>
        <w:t>七、成交通知</w:t>
      </w:r>
    </w:p>
    <w:p>
      <w:pPr>
        <w:spacing w:line="480" w:lineRule="exact"/>
        <w:ind w:firstLine="484" w:firstLineChars="202"/>
        <w:rPr>
          <w:rFonts w:ascii="宋体" w:hAnsi="宋体" w:cs="宋体"/>
          <w:kern w:val="0"/>
          <w:sz w:val="24"/>
          <w:szCs w:val="24"/>
        </w:rPr>
      </w:pPr>
      <w:r>
        <w:rPr>
          <w:rFonts w:hint="eastAsia" w:ascii="宋体" w:hAnsi="宋体" w:cs="宋体"/>
          <w:kern w:val="0"/>
          <w:sz w:val="24"/>
          <w:szCs w:val="24"/>
        </w:rPr>
        <w:t>成交结果在</w:t>
      </w:r>
      <w:r>
        <w:rPr>
          <w:rFonts w:hint="eastAsia" w:ascii="宋体" w:hAnsi="宋体" w:cs="宋体"/>
          <w:kern w:val="0"/>
          <w:sz w:val="24"/>
          <w:szCs w:val="24"/>
          <w:lang w:val="zh-CN"/>
        </w:rPr>
        <w:t>南通市公共资源交易网</w:t>
      </w:r>
      <w:r>
        <w:rPr>
          <w:rFonts w:hint="eastAsia" w:ascii="宋体" w:hAnsi="宋体" w:cs="宋体"/>
          <w:kern w:val="0"/>
          <w:sz w:val="24"/>
          <w:szCs w:val="24"/>
        </w:rPr>
        <w:t>公示</w:t>
      </w:r>
      <w:r>
        <w:rPr>
          <w:rFonts w:hint="eastAsia" w:ascii="宋体" w:hAnsi="宋体" w:cs="宋体"/>
          <w:b/>
          <w:kern w:val="0"/>
          <w:sz w:val="24"/>
          <w:szCs w:val="24"/>
          <w:u w:val="single"/>
        </w:rPr>
        <w:t>3</w:t>
      </w:r>
      <w:r>
        <w:rPr>
          <w:rFonts w:hint="eastAsia" w:ascii="宋体" w:hAnsi="宋体" w:cs="宋体"/>
          <w:kern w:val="0"/>
          <w:sz w:val="24"/>
          <w:szCs w:val="24"/>
        </w:rPr>
        <w:t>个工作日。《成交通知书》一经发出，采购单位改变成交结果，或者中标人放弃成交的，各自承担相应的法律责任。《成交通知书》是采购合同的组成部分。</w:t>
      </w:r>
    </w:p>
    <w:p>
      <w:pPr>
        <w:snapToGrid w:val="0"/>
        <w:spacing w:line="480" w:lineRule="exact"/>
        <w:ind w:firstLine="482" w:firstLineChars="200"/>
        <w:outlineLvl w:val="1"/>
        <w:rPr>
          <w:rFonts w:ascii="宋体" w:hAnsi="宋体" w:cs="宋体"/>
          <w:b/>
          <w:sz w:val="24"/>
          <w:szCs w:val="24"/>
        </w:rPr>
      </w:pPr>
    </w:p>
    <w:p>
      <w:pPr>
        <w:snapToGrid w:val="0"/>
        <w:spacing w:line="520" w:lineRule="exact"/>
        <w:rPr>
          <w:rFonts w:ascii="宋体" w:hAnsi="宋体" w:cs="宋体"/>
          <w:b/>
          <w:w w:val="80"/>
          <w:kern w:val="44"/>
          <w:sz w:val="44"/>
          <w:szCs w:val="44"/>
        </w:rPr>
      </w:pPr>
    </w:p>
    <w:p>
      <w:pPr>
        <w:snapToGrid w:val="0"/>
        <w:spacing w:line="520" w:lineRule="exact"/>
        <w:jc w:val="center"/>
        <w:rPr>
          <w:rFonts w:ascii="宋体" w:hAnsi="宋体" w:cs="宋体"/>
          <w:b/>
          <w:iCs/>
          <w:w w:val="80"/>
          <w:sz w:val="44"/>
          <w:szCs w:val="44"/>
        </w:rPr>
      </w:pPr>
      <w:r>
        <w:rPr>
          <w:rFonts w:hint="eastAsia" w:ascii="宋体" w:hAnsi="宋体" w:cs="宋体"/>
          <w:b/>
          <w:w w:val="80"/>
          <w:kern w:val="44"/>
          <w:sz w:val="44"/>
          <w:szCs w:val="44"/>
        </w:rPr>
        <w:br w:type="page"/>
      </w:r>
      <w:r>
        <w:rPr>
          <w:rFonts w:hint="eastAsia" w:ascii="宋体" w:hAnsi="宋体" w:cs="宋体"/>
          <w:b/>
          <w:iCs/>
          <w:w w:val="80"/>
          <w:sz w:val="44"/>
          <w:szCs w:val="44"/>
        </w:rPr>
        <w:t>第五章 合同授予</w:t>
      </w:r>
    </w:p>
    <w:p>
      <w:pPr>
        <w:spacing w:line="520" w:lineRule="exact"/>
        <w:ind w:firstLine="484" w:firstLineChars="202"/>
        <w:rPr>
          <w:rFonts w:ascii="宋体" w:hAnsi="宋体" w:cs="宋体"/>
          <w:kern w:val="0"/>
          <w:sz w:val="28"/>
          <w:szCs w:val="28"/>
        </w:rPr>
      </w:pPr>
      <w:r>
        <w:rPr>
          <w:rFonts w:hint="eastAsia" w:ascii="宋体" w:hAnsi="宋体" w:cs="宋体"/>
          <w:sz w:val="24"/>
          <w:szCs w:val="24"/>
        </w:rPr>
        <w:t>一、</w:t>
      </w:r>
      <w:r>
        <w:rPr>
          <w:rFonts w:hint="eastAsia" w:ascii="宋体" w:hAnsi="宋体" w:cs="宋体"/>
          <w:kern w:val="0"/>
          <w:sz w:val="24"/>
          <w:szCs w:val="24"/>
        </w:rPr>
        <w:t xml:space="preserve">成交供应商在《成交通知书》发出5个工作日内须按照磋商文件确定的事项签订政府采购合同。合同一式四份，采购单位、供应商各两份。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rPr>
          <w:rFonts w:ascii="宋体" w:hAnsi="宋体" w:cs="宋体"/>
          <w:sz w:val="24"/>
          <w:szCs w:val="24"/>
        </w:rPr>
      </w:pPr>
      <w:r>
        <w:rPr>
          <w:rFonts w:hint="eastAsia" w:ascii="宋体" w:hAnsi="宋体" w:cs="宋体"/>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ascii="宋体" w:hAnsi="宋体" w:cs="宋体"/>
          <w:sz w:val="24"/>
          <w:szCs w:val="24"/>
        </w:rPr>
      </w:pPr>
      <w:r>
        <w:rPr>
          <w:rFonts w:hint="eastAsia" w:ascii="宋体"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ascii="宋体" w:hAnsi="宋体" w:cs="宋体"/>
          <w:sz w:val="24"/>
          <w:szCs w:val="24"/>
        </w:rPr>
      </w:pPr>
      <w:r>
        <w:rPr>
          <w:rFonts w:hint="eastAsia" w:ascii="宋体"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ascii="宋体" w:hAnsi="宋体" w:cs="宋体"/>
          <w:sz w:val="24"/>
          <w:szCs w:val="24"/>
        </w:rPr>
      </w:pPr>
      <w:r>
        <w:rPr>
          <w:rFonts w:hint="eastAsia" w:ascii="宋体" w:hAnsi="宋体" w:cs="宋体"/>
          <w:sz w:val="24"/>
          <w:szCs w:val="24"/>
        </w:rPr>
        <w:t>五、按政府采购合同约定支付的货款，实行财政国库直接支付。</w:t>
      </w:r>
    </w:p>
    <w:p>
      <w:pPr>
        <w:snapToGrid w:val="0"/>
        <w:spacing w:line="480" w:lineRule="exact"/>
        <w:ind w:firstLine="573"/>
        <w:rPr>
          <w:rFonts w:ascii="宋体" w:hAnsi="宋体" w:cs="宋体"/>
          <w:sz w:val="24"/>
          <w:szCs w:val="24"/>
        </w:rPr>
      </w:pPr>
      <w:r>
        <w:rPr>
          <w:rFonts w:hint="eastAsia" w:ascii="宋体" w:hAnsi="宋体" w:cs="宋体"/>
          <w:sz w:val="24"/>
          <w:szCs w:val="24"/>
        </w:rPr>
        <w:t>六、不响应付款方式的，视同响应文件无效，按无效响应文件处理。</w:t>
      </w:r>
    </w:p>
    <w:p>
      <w:pPr>
        <w:snapToGrid w:val="0"/>
        <w:spacing w:line="480" w:lineRule="exact"/>
        <w:ind w:firstLine="573"/>
        <w:rPr>
          <w:rFonts w:ascii="宋体" w:hAnsi="宋体" w:cs="宋体"/>
          <w:sz w:val="24"/>
          <w:szCs w:val="24"/>
        </w:rPr>
      </w:pPr>
      <w:r>
        <w:rPr>
          <w:rFonts w:hint="eastAsia" w:ascii="宋体" w:hAnsi="宋体" w:cs="宋体"/>
          <w:sz w:val="24"/>
          <w:szCs w:val="24"/>
        </w:rPr>
        <w:t>七、付款方式详见磋商文件第五章。</w:t>
      </w:r>
    </w:p>
    <w:p>
      <w:pPr>
        <w:snapToGrid w:val="0"/>
        <w:spacing w:line="480" w:lineRule="exact"/>
        <w:ind w:firstLine="573"/>
        <w:rPr>
          <w:rFonts w:ascii="宋体" w:hAnsi="宋体" w:cs="宋体"/>
          <w:sz w:val="24"/>
          <w:szCs w:val="24"/>
        </w:rPr>
      </w:pPr>
      <w:r>
        <w:rPr>
          <w:rFonts w:hint="eastAsia" w:ascii="宋体" w:hAnsi="宋体" w:cs="宋体"/>
          <w:sz w:val="24"/>
          <w:szCs w:val="24"/>
        </w:rPr>
        <w:t>八、以上项目款的支付不计息。</w:t>
      </w:r>
    </w:p>
    <w:p>
      <w:pPr>
        <w:snapToGrid w:val="0"/>
        <w:spacing w:line="520" w:lineRule="exact"/>
        <w:ind w:firstLine="573"/>
        <w:jc w:val="center"/>
        <w:rPr>
          <w:rFonts w:ascii="宋体" w:hAnsi="宋体" w:cs="宋体"/>
          <w:kern w:val="0"/>
          <w:sz w:val="28"/>
          <w:szCs w:val="28"/>
        </w:rPr>
      </w:pPr>
    </w:p>
    <w:p>
      <w:pPr>
        <w:snapToGrid w:val="0"/>
        <w:spacing w:line="520" w:lineRule="exact"/>
        <w:ind w:firstLine="573"/>
        <w:jc w:val="center"/>
        <w:rPr>
          <w:rFonts w:ascii="宋体" w:hAnsi="宋体" w:cs="宋体"/>
          <w:b/>
          <w:w w:val="80"/>
          <w:kern w:val="44"/>
          <w:sz w:val="44"/>
          <w:szCs w:val="44"/>
        </w:rPr>
      </w:pPr>
    </w:p>
    <w:p>
      <w:pPr>
        <w:snapToGrid w:val="0"/>
        <w:spacing w:line="520" w:lineRule="exact"/>
        <w:ind w:firstLine="573"/>
        <w:jc w:val="center"/>
        <w:rPr>
          <w:rFonts w:ascii="宋体" w:hAnsi="宋体" w:cs="宋体"/>
          <w:b/>
          <w:w w:val="80"/>
          <w:kern w:val="44"/>
          <w:sz w:val="44"/>
          <w:szCs w:val="44"/>
        </w:rPr>
      </w:pPr>
    </w:p>
    <w:p>
      <w:pPr>
        <w:snapToGrid w:val="0"/>
        <w:spacing w:line="520" w:lineRule="exact"/>
        <w:ind w:firstLine="573"/>
        <w:jc w:val="center"/>
        <w:rPr>
          <w:rFonts w:ascii="宋体" w:hAnsi="宋体" w:cs="宋体"/>
          <w:b/>
          <w:w w:val="80"/>
          <w:kern w:val="44"/>
          <w:sz w:val="44"/>
          <w:szCs w:val="44"/>
        </w:rPr>
      </w:pPr>
    </w:p>
    <w:p>
      <w:pPr>
        <w:snapToGrid w:val="0"/>
        <w:spacing w:line="520" w:lineRule="exact"/>
        <w:ind w:firstLine="573"/>
        <w:jc w:val="center"/>
        <w:rPr>
          <w:rFonts w:ascii="宋体" w:hAnsi="宋体" w:cs="宋体"/>
          <w:b/>
          <w:w w:val="80"/>
          <w:kern w:val="44"/>
          <w:sz w:val="44"/>
          <w:szCs w:val="44"/>
        </w:rPr>
      </w:pPr>
    </w:p>
    <w:p>
      <w:pPr>
        <w:snapToGrid w:val="0"/>
        <w:spacing w:line="520" w:lineRule="exact"/>
        <w:ind w:firstLine="573"/>
        <w:jc w:val="center"/>
        <w:rPr>
          <w:rFonts w:ascii="宋体" w:hAnsi="宋体" w:cs="宋体"/>
          <w:b/>
          <w:w w:val="80"/>
          <w:kern w:val="44"/>
          <w:sz w:val="44"/>
          <w:szCs w:val="44"/>
        </w:rPr>
      </w:pPr>
    </w:p>
    <w:p>
      <w:pPr>
        <w:snapToGrid w:val="0"/>
        <w:spacing w:line="520" w:lineRule="exact"/>
        <w:ind w:firstLine="573"/>
        <w:jc w:val="center"/>
        <w:rPr>
          <w:rFonts w:ascii="宋体" w:hAnsi="宋体" w:cs="宋体"/>
          <w:b/>
          <w:w w:val="80"/>
          <w:kern w:val="44"/>
          <w:sz w:val="44"/>
          <w:szCs w:val="44"/>
        </w:rPr>
      </w:pPr>
    </w:p>
    <w:p>
      <w:pPr>
        <w:snapToGrid w:val="0"/>
        <w:spacing w:line="520" w:lineRule="exact"/>
        <w:ind w:firstLine="573"/>
        <w:jc w:val="center"/>
        <w:rPr>
          <w:rFonts w:ascii="宋体" w:hAnsi="宋体" w:cs="宋体"/>
          <w:b/>
          <w:w w:val="80"/>
          <w:kern w:val="44"/>
          <w:sz w:val="44"/>
          <w:szCs w:val="44"/>
        </w:rPr>
      </w:pPr>
    </w:p>
    <w:p>
      <w:pPr>
        <w:snapToGrid w:val="0"/>
        <w:spacing w:line="520" w:lineRule="exact"/>
        <w:ind w:firstLine="573"/>
        <w:jc w:val="center"/>
        <w:rPr>
          <w:rFonts w:ascii="宋体" w:hAnsi="宋体" w:cs="宋体"/>
          <w:sz w:val="28"/>
          <w:szCs w:val="28"/>
        </w:rPr>
      </w:pPr>
      <w:r>
        <w:rPr>
          <w:rFonts w:ascii="宋体" w:hAnsi="宋体" w:cs="宋体"/>
          <w:b/>
          <w:w w:val="80"/>
          <w:kern w:val="44"/>
          <w:sz w:val="44"/>
          <w:szCs w:val="44"/>
        </w:rPr>
        <w:br w:type="page"/>
      </w:r>
      <w:r>
        <w:rPr>
          <w:rFonts w:hint="eastAsia" w:ascii="宋体" w:hAnsi="宋体" w:cs="宋体"/>
          <w:b/>
          <w:w w:val="80"/>
          <w:kern w:val="44"/>
          <w:sz w:val="44"/>
          <w:szCs w:val="44"/>
        </w:rPr>
        <w:t>第六章  质疑提出和处理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格式请在南通政府采购网“下载中心--有关质疑资料”下载</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一、质疑的提出</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1、质疑人必须是直接参加本次磋商活动的当事人。</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 xml:space="preserve">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采购单位或采购代理机构不负责搜集相关佐证材料等工作。</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二、《质疑函》的受理和回复</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1、《质疑函》须由质疑人的法定代表人或参加本次磋商被授权人送达采购单位和采购代理机构。</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三、质疑处理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2、质疑不成立的处理。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adjustRightInd w:val="0"/>
        <w:snapToGrid w:val="0"/>
        <w:spacing w:line="480" w:lineRule="exact"/>
        <w:ind w:firstLine="480" w:firstLineChars="200"/>
        <w:rPr>
          <w:rFonts w:ascii="宋体" w:hAnsi="宋体" w:cs="宋体"/>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ascii="宋体" w:hAnsi="宋体" w:cs="宋体"/>
          <w:bCs/>
          <w:sz w:val="24"/>
          <w:szCs w:val="24"/>
        </w:rPr>
      </w:pPr>
    </w:p>
    <w:p>
      <w:pPr>
        <w:pStyle w:val="2"/>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w w:val="80"/>
          <w:szCs w:val="44"/>
        </w:rPr>
        <w:t>第七章  磋商响应文件组成及格式</w:t>
      </w:r>
    </w:p>
    <w:p>
      <w:pPr>
        <w:adjustRightInd w:val="0"/>
        <w:snapToGrid w:val="0"/>
        <w:spacing w:line="480" w:lineRule="exact"/>
        <w:ind w:firstLine="487" w:firstLineChars="202"/>
        <w:jc w:val="left"/>
        <w:rPr>
          <w:rFonts w:ascii="宋体" w:hAnsi="宋体" w:cs="宋体"/>
          <w:b/>
          <w:bCs/>
          <w:sz w:val="24"/>
          <w:szCs w:val="24"/>
        </w:rPr>
      </w:pPr>
      <w:r>
        <w:rPr>
          <w:rFonts w:hint="eastAsia" w:ascii="宋体" w:hAnsi="宋体" w:cs="宋体"/>
          <w:b/>
          <w:bCs/>
          <w:sz w:val="24"/>
          <w:szCs w:val="24"/>
        </w:rPr>
        <w:t>磋商响应文件</w:t>
      </w:r>
      <w:r>
        <w:rPr>
          <w:rFonts w:hint="eastAsia" w:ascii="宋体" w:hAnsi="宋体" w:cs="宋体"/>
          <w:b/>
          <w:bCs/>
          <w:sz w:val="24"/>
          <w:szCs w:val="24"/>
        </w:rPr>
        <w:fldChar w:fldCharType="begin"/>
      </w:r>
      <w:r>
        <w:rPr>
          <w:rFonts w:hint="eastAsia" w:ascii="宋体" w:hAnsi="宋体" w:cs="宋体"/>
          <w:b/>
          <w:bCs/>
          <w:sz w:val="24"/>
          <w:szCs w:val="24"/>
        </w:rPr>
        <w:instrText xml:space="preserve"> = 1 \* GB3 </w:instrText>
      </w:r>
      <w:r>
        <w:rPr>
          <w:rFonts w:hint="eastAsia" w:ascii="宋体" w:hAnsi="宋体" w:cs="宋体"/>
          <w:b/>
          <w:bCs/>
          <w:sz w:val="24"/>
          <w:szCs w:val="24"/>
        </w:rPr>
        <w:fldChar w:fldCharType="separate"/>
      </w:r>
      <w:r>
        <w:rPr>
          <w:rFonts w:hint="eastAsia" w:ascii="宋体" w:hAnsi="宋体" w:cs="宋体"/>
          <w:b/>
          <w:bCs/>
          <w:sz w:val="24"/>
          <w:szCs w:val="24"/>
        </w:rPr>
        <w:t>①</w:t>
      </w:r>
      <w:r>
        <w:rPr>
          <w:rFonts w:hint="eastAsia" w:ascii="宋体" w:hAnsi="宋体" w:cs="宋体"/>
          <w:b/>
          <w:bCs/>
          <w:sz w:val="24"/>
          <w:szCs w:val="24"/>
        </w:rPr>
        <w:fldChar w:fldCharType="end"/>
      </w:r>
      <w:r>
        <w:rPr>
          <w:rFonts w:hint="eastAsia" w:ascii="宋体" w:hAnsi="宋体" w:cs="宋体"/>
          <w:b/>
          <w:bCs/>
          <w:sz w:val="24"/>
          <w:szCs w:val="24"/>
        </w:rPr>
        <w:t>竞磋响应资料原件包、</w:t>
      </w:r>
      <w:r>
        <w:rPr>
          <w:rFonts w:hint="eastAsia" w:ascii="宋体" w:hAnsi="宋体" w:cs="宋体"/>
          <w:b/>
          <w:bCs/>
          <w:sz w:val="24"/>
          <w:szCs w:val="24"/>
        </w:rPr>
        <w:fldChar w:fldCharType="begin"/>
      </w:r>
      <w:r>
        <w:rPr>
          <w:rFonts w:hint="eastAsia" w:ascii="宋体" w:hAnsi="宋体" w:cs="宋体"/>
          <w:b/>
          <w:bCs/>
          <w:sz w:val="24"/>
          <w:szCs w:val="24"/>
        </w:rPr>
        <w:instrText xml:space="preserve"> = 2 \* GB3 </w:instrText>
      </w:r>
      <w:r>
        <w:rPr>
          <w:rFonts w:hint="eastAsia" w:ascii="宋体" w:hAnsi="宋体" w:cs="宋体"/>
          <w:b/>
          <w:bCs/>
          <w:sz w:val="24"/>
          <w:szCs w:val="24"/>
        </w:rPr>
        <w:fldChar w:fldCharType="separate"/>
      </w:r>
      <w:r>
        <w:rPr>
          <w:rFonts w:hint="eastAsia" w:ascii="宋体" w:hAnsi="宋体" w:cs="宋体"/>
          <w:b/>
          <w:bCs/>
          <w:sz w:val="24"/>
          <w:szCs w:val="24"/>
        </w:rPr>
        <w:t>②</w:t>
      </w:r>
      <w:r>
        <w:rPr>
          <w:rFonts w:hint="eastAsia" w:ascii="宋体" w:hAnsi="宋体" w:cs="宋体"/>
          <w:b/>
          <w:bCs/>
          <w:sz w:val="24"/>
          <w:szCs w:val="24"/>
        </w:rPr>
        <w:fldChar w:fldCharType="end"/>
      </w:r>
      <w:r>
        <w:rPr>
          <w:rFonts w:hint="eastAsia" w:ascii="宋体" w:hAnsi="宋体" w:cs="宋体"/>
          <w:b/>
          <w:bCs/>
          <w:sz w:val="24"/>
          <w:szCs w:val="24"/>
        </w:rPr>
        <w:t xml:space="preserve">资格审查文件、③技术磋商响应文件、④商务报价磋商响应文件共4部分组成。本次竞争性磋商采用资格后审方式，供应商须将资格审查文件作为磋商响应文件组成部分，按磋商文件要求装订密封后一起递交。 </w:t>
      </w:r>
    </w:p>
    <w:p>
      <w:pPr>
        <w:numPr>
          <w:ilvl w:val="0"/>
          <w:numId w:val="1"/>
        </w:numPr>
        <w:adjustRightInd w:val="0"/>
        <w:snapToGrid w:val="0"/>
        <w:spacing w:line="480" w:lineRule="exact"/>
        <w:ind w:firstLine="487" w:firstLineChars="202"/>
        <w:jc w:val="left"/>
        <w:rPr>
          <w:rFonts w:ascii="宋体" w:hAnsi="宋体" w:cs="宋体"/>
          <w:b/>
          <w:bCs/>
          <w:sz w:val="24"/>
          <w:szCs w:val="24"/>
        </w:rPr>
      </w:pPr>
      <w:r>
        <w:rPr>
          <w:rFonts w:hint="eastAsia" w:ascii="宋体" w:hAnsi="宋体" w:cs="宋体"/>
          <w:b/>
          <w:bCs/>
          <w:sz w:val="24"/>
          <w:szCs w:val="24"/>
        </w:rPr>
        <w:t>竞磋响应资料原件包（单独密封）：</w:t>
      </w:r>
    </w:p>
    <w:tbl>
      <w:tblPr>
        <w:tblStyle w:val="22"/>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620" w:type="dxa"/>
            <w:vAlign w:val="center"/>
          </w:tcPr>
          <w:p>
            <w:pPr>
              <w:spacing w:line="360" w:lineRule="exact"/>
              <w:ind w:left="35" w:leftChars="-51" w:right="-107" w:rightChars="-51" w:hanging="142" w:hangingChars="51"/>
              <w:jc w:val="center"/>
              <w:rPr>
                <w:rFonts w:ascii="黑体" w:hAnsi="黑体" w:eastAsia="黑体"/>
                <w:sz w:val="28"/>
                <w:szCs w:val="28"/>
              </w:rPr>
            </w:pPr>
            <w:r>
              <w:rPr>
                <w:rFonts w:hint="eastAsia" w:ascii="黑体" w:hAnsi="黑体" w:eastAsia="黑体"/>
                <w:sz w:val="28"/>
                <w:szCs w:val="28"/>
              </w:rPr>
              <w:t>序号</w:t>
            </w:r>
          </w:p>
        </w:tc>
        <w:tc>
          <w:tcPr>
            <w:tcW w:w="8220" w:type="dxa"/>
            <w:vAlign w:val="center"/>
          </w:tcPr>
          <w:p>
            <w:pPr>
              <w:spacing w:line="360" w:lineRule="exact"/>
              <w:ind w:left="-51"/>
              <w:jc w:val="center"/>
              <w:rPr>
                <w:rFonts w:ascii="黑体" w:hAnsi="黑体" w:eastAsia="黑体"/>
                <w:sz w:val="28"/>
                <w:szCs w:val="28"/>
              </w:rPr>
            </w:pPr>
            <w:r>
              <w:rPr>
                <w:rFonts w:hint="eastAsia" w:ascii="黑体" w:hAnsi="黑体" w:eastAsia="黑体"/>
                <w:sz w:val="28"/>
                <w:szCs w:val="28"/>
              </w:rPr>
              <w:t>竞磋响应资料原件包 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trPr>
        <w:tc>
          <w:tcPr>
            <w:tcW w:w="620" w:type="dxa"/>
            <w:vAlign w:val="center"/>
          </w:tcPr>
          <w:p>
            <w:pPr>
              <w:spacing w:line="360" w:lineRule="exact"/>
              <w:jc w:val="center"/>
              <w:rPr>
                <w:rFonts w:eastAsia="仿宋_GB2312"/>
                <w:sz w:val="28"/>
                <w:szCs w:val="28"/>
              </w:rPr>
            </w:pPr>
            <w:r>
              <w:rPr>
                <w:rFonts w:hint="eastAsia" w:eastAsia="仿宋_GB2312"/>
                <w:sz w:val="28"/>
                <w:szCs w:val="28"/>
              </w:rPr>
              <w:t>1</w:t>
            </w:r>
          </w:p>
        </w:tc>
        <w:tc>
          <w:tcPr>
            <w:tcW w:w="8220" w:type="dxa"/>
            <w:vAlign w:val="center"/>
          </w:tcPr>
          <w:p>
            <w:pPr>
              <w:spacing w:line="360" w:lineRule="exact"/>
              <w:jc w:val="left"/>
              <w:rPr>
                <w:rFonts w:eastAsia="仿宋_GB2312"/>
                <w:sz w:val="28"/>
                <w:szCs w:val="28"/>
              </w:rPr>
            </w:pPr>
            <w:r>
              <w:rPr>
                <w:rFonts w:hint="eastAsia" w:eastAsia="仿宋_GB2312"/>
                <w:sz w:val="28"/>
                <w:szCs w:val="28"/>
              </w:rPr>
              <w:t>提供竞磋供应商的企业法人《营业执照》（副本）及《税务登记证》（副本）（提供新版“三证合一”营业执照的除外）或社会团体法人登记证书或民办非企业单位登记证书的原件。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620" w:type="dxa"/>
            <w:vAlign w:val="center"/>
          </w:tcPr>
          <w:p>
            <w:pPr>
              <w:spacing w:line="360" w:lineRule="exact"/>
              <w:jc w:val="center"/>
              <w:rPr>
                <w:rFonts w:eastAsia="仿宋_GB2312"/>
                <w:sz w:val="28"/>
                <w:szCs w:val="28"/>
              </w:rPr>
            </w:pPr>
            <w:r>
              <w:rPr>
                <w:rFonts w:hint="eastAsia" w:eastAsia="仿宋_GB2312"/>
                <w:sz w:val="28"/>
                <w:szCs w:val="28"/>
              </w:rPr>
              <w:t>2</w:t>
            </w:r>
          </w:p>
        </w:tc>
        <w:tc>
          <w:tcPr>
            <w:tcW w:w="8220" w:type="dxa"/>
            <w:vAlign w:val="center"/>
          </w:tcPr>
          <w:p>
            <w:pPr>
              <w:spacing w:line="360" w:lineRule="exact"/>
              <w:jc w:val="left"/>
              <w:rPr>
                <w:rFonts w:eastAsia="仿宋_GB2312"/>
                <w:sz w:val="28"/>
                <w:szCs w:val="28"/>
              </w:rPr>
            </w:pPr>
            <w:r>
              <w:rPr>
                <w:rFonts w:hint="eastAsia" w:eastAsia="仿宋_GB2312"/>
                <w:sz w:val="28"/>
                <w:szCs w:val="28"/>
              </w:rPr>
              <w:t>法定代表人参加竞磋的，必须提供本人身份证原件；非法定代表人参加的，必须提供法定代表人签名或盖章的授权委托书及被委托授权人身份证的这两项原件。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20" w:type="dxa"/>
            <w:vAlign w:val="center"/>
          </w:tcPr>
          <w:p>
            <w:pPr>
              <w:spacing w:line="360" w:lineRule="exact"/>
              <w:jc w:val="center"/>
              <w:rPr>
                <w:rFonts w:eastAsia="仿宋_GB2312"/>
                <w:sz w:val="28"/>
                <w:szCs w:val="28"/>
              </w:rPr>
            </w:pPr>
            <w:r>
              <w:rPr>
                <w:rFonts w:hint="eastAsia" w:eastAsia="仿宋_GB2312"/>
                <w:sz w:val="28"/>
                <w:szCs w:val="28"/>
              </w:rPr>
              <w:t>3</w:t>
            </w:r>
          </w:p>
        </w:tc>
        <w:tc>
          <w:tcPr>
            <w:tcW w:w="8220" w:type="dxa"/>
            <w:vAlign w:val="center"/>
          </w:tcPr>
          <w:p>
            <w:pPr>
              <w:spacing w:line="360" w:lineRule="exact"/>
              <w:jc w:val="left"/>
              <w:rPr>
                <w:rFonts w:eastAsia="仿宋_GB2312"/>
                <w:sz w:val="28"/>
                <w:szCs w:val="28"/>
              </w:rPr>
            </w:pPr>
            <w:r>
              <w:rPr>
                <w:rFonts w:hint="eastAsia" w:eastAsia="仿宋_GB2312"/>
                <w:sz w:val="28"/>
                <w:szCs w:val="28"/>
              </w:rPr>
              <w:t>具有组织体育赛事的经验，提供2016年1月1日至今，与本项目相似的赛事组织案例提供合同原件或证明材料原件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620" w:type="dxa"/>
            <w:vAlign w:val="center"/>
          </w:tcPr>
          <w:p>
            <w:pPr>
              <w:spacing w:line="360" w:lineRule="exact"/>
              <w:jc w:val="center"/>
              <w:rPr>
                <w:rFonts w:eastAsia="仿宋_GB2312"/>
                <w:sz w:val="28"/>
                <w:szCs w:val="28"/>
              </w:rPr>
            </w:pPr>
            <w:r>
              <w:rPr>
                <w:rFonts w:hint="eastAsia" w:eastAsia="仿宋_GB2312"/>
                <w:sz w:val="28"/>
                <w:szCs w:val="28"/>
              </w:rPr>
              <w:t>4</w:t>
            </w:r>
          </w:p>
        </w:tc>
        <w:tc>
          <w:tcPr>
            <w:tcW w:w="8220" w:type="dxa"/>
            <w:vAlign w:val="center"/>
          </w:tcPr>
          <w:p>
            <w:pPr>
              <w:spacing w:line="360" w:lineRule="exact"/>
              <w:jc w:val="left"/>
              <w:rPr>
                <w:rFonts w:eastAsia="仿宋_GB2312"/>
                <w:sz w:val="28"/>
                <w:szCs w:val="28"/>
              </w:rPr>
            </w:pPr>
            <w:r>
              <w:rPr>
                <w:rFonts w:hint="eastAsia" w:eastAsia="仿宋_GB2312"/>
                <w:sz w:val="28"/>
                <w:szCs w:val="28"/>
              </w:rPr>
              <w:t>谈判供应商须提供参与本次项目政府采购活动前三年内在经营活动中没有重大违法记录的书面《无重大违法记录声明函》原件</w:t>
            </w:r>
          </w:p>
        </w:tc>
      </w:tr>
    </w:tbl>
    <w:p>
      <w:pPr>
        <w:adjustRightInd w:val="0"/>
        <w:snapToGrid w:val="0"/>
        <w:spacing w:line="480" w:lineRule="exact"/>
        <w:jc w:val="left"/>
        <w:outlineLvl w:val="1"/>
        <w:rPr>
          <w:rFonts w:ascii="宋体" w:hAnsi="宋体" w:cs="宋体"/>
          <w:b/>
          <w:bCs/>
          <w:sz w:val="24"/>
          <w:szCs w:val="24"/>
        </w:rPr>
      </w:pPr>
    </w:p>
    <w:p>
      <w:pPr>
        <w:numPr>
          <w:ilvl w:val="0"/>
          <w:numId w:val="1"/>
        </w:numPr>
        <w:adjustRightInd w:val="0"/>
        <w:snapToGrid w:val="0"/>
        <w:spacing w:line="480" w:lineRule="exact"/>
        <w:ind w:firstLine="487" w:firstLineChars="202"/>
        <w:jc w:val="left"/>
        <w:outlineLvl w:val="1"/>
        <w:rPr>
          <w:rFonts w:ascii="宋体" w:hAnsi="宋体" w:cs="宋体"/>
          <w:b/>
          <w:bCs/>
          <w:sz w:val="24"/>
          <w:szCs w:val="24"/>
        </w:rPr>
      </w:pPr>
      <w:r>
        <w:rPr>
          <w:rFonts w:hint="eastAsia" w:ascii="宋体" w:hAnsi="宋体" w:cs="宋体"/>
          <w:b/>
          <w:bCs/>
          <w:sz w:val="24"/>
          <w:szCs w:val="24"/>
        </w:rPr>
        <w:t>资格审查文件（单独密封）：</w:t>
      </w:r>
    </w:p>
    <w:tbl>
      <w:tblPr>
        <w:tblStyle w:val="22"/>
        <w:tblW w:w="8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8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blHeader/>
        </w:trPr>
        <w:tc>
          <w:tcPr>
            <w:tcW w:w="779" w:type="dxa"/>
            <w:vAlign w:val="center"/>
          </w:tcPr>
          <w:p>
            <w:pPr>
              <w:spacing w:line="360" w:lineRule="exact"/>
              <w:jc w:val="center"/>
              <w:rPr>
                <w:rFonts w:ascii="黑体" w:hAnsi="黑体" w:eastAsia="黑体"/>
                <w:sz w:val="28"/>
                <w:szCs w:val="28"/>
              </w:rPr>
            </w:pPr>
            <w:r>
              <w:rPr>
                <w:rFonts w:hint="eastAsia" w:ascii="黑体" w:hAnsi="黑体" w:eastAsia="黑体"/>
                <w:sz w:val="28"/>
                <w:szCs w:val="28"/>
              </w:rPr>
              <w:t>序号</w:t>
            </w:r>
          </w:p>
        </w:tc>
        <w:tc>
          <w:tcPr>
            <w:tcW w:w="8101" w:type="dxa"/>
            <w:vAlign w:val="center"/>
          </w:tcPr>
          <w:p>
            <w:pPr>
              <w:spacing w:line="360" w:lineRule="exact"/>
              <w:jc w:val="center"/>
              <w:rPr>
                <w:rFonts w:ascii="黑体" w:hAnsi="黑体" w:eastAsia="黑体"/>
                <w:sz w:val="28"/>
                <w:szCs w:val="28"/>
              </w:rPr>
            </w:pPr>
            <w:r>
              <w:rPr>
                <w:rFonts w:hint="eastAsia" w:ascii="黑体" w:hAnsi="黑体" w:eastAsia="黑体"/>
                <w:sz w:val="28"/>
                <w:szCs w:val="28"/>
              </w:rPr>
              <w:t>资格后审资料文件 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779" w:type="dxa"/>
            <w:vAlign w:val="center"/>
          </w:tcPr>
          <w:p>
            <w:pPr>
              <w:spacing w:line="360" w:lineRule="exact"/>
              <w:jc w:val="center"/>
              <w:rPr>
                <w:rFonts w:eastAsia="仿宋_GB2312"/>
                <w:sz w:val="28"/>
                <w:szCs w:val="28"/>
              </w:rPr>
            </w:pPr>
            <w:r>
              <w:rPr>
                <w:rFonts w:hint="eastAsia" w:eastAsia="仿宋_GB2312"/>
                <w:sz w:val="28"/>
                <w:szCs w:val="28"/>
              </w:rPr>
              <w:t>1</w:t>
            </w:r>
          </w:p>
        </w:tc>
        <w:tc>
          <w:tcPr>
            <w:tcW w:w="8101" w:type="dxa"/>
            <w:vAlign w:val="center"/>
          </w:tcPr>
          <w:p>
            <w:pPr>
              <w:spacing w:line="360" w:lineRule="exact"/>
              <w:jc w:val="left"/>
              <w:rPr>
                <w:rFonts w:eastAsia="仿宋_GB2312"/>
                <w:sz w:val="28"/>
                <w:szCs w:val="28"/>
              </w:rPr>
            </w:pPr>
            <w:r>
              <w:rPr>
                <w:rFonts w:hint="eastAsia" w:eastAsia="仿宋_GB2312"/>
                <w:sz w:val="28"/>
                <w:szCs w:val="28"/>
              </w:rPr>
              <w:t>提供谈判供应商的企业法人《营业执照》（副本）及《税务登记证》（副本）（提供新版“三证合一”营业执照的除外）或社会团体法人登记证书或民办非企业单位登记证书原件的复印件（须加盖公章）；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79" w:type="dxa"/>
            <w:vAlign w:val="center"/>
          </w:tcPr>
          <w:p>
            <w:pPr>
              <w:spacing w:line="360" w:lineRule="exact"/>
              <w:jc w:val="center"/>
              <w:rPr>
                <w:rFonts w:eastAsia="仿宋_GB2312"/>
                <w:sz w:val="28"/>
                <w:szCs w:val="28"/>
              </w:rPr>
            </w:pPr>
            <w:r>
              <w:rPr>
                <w:rFonts w:hint="eastAsia" w:eastAsia="仿宋_GB2312"/>
                <w:sz w:val="28"/>
                <w:szCs w:val="28"/>
              </w:rPr>
              <w:t>2</w:t>
            </w:r>
          </w:p>
        </w:tc>
        <w:tc>
          <w:tcPr>
            <w:tcW w:w="8101" w:type="dxa"/>
            <w:vAlign w:val="center"/>
          </w:tcPr>
          <w:p>
            <w:pPr>
              <w:spacing w:line="360" w:lineRule="exact"/>
              <w:jc w:val="left"/>
              <w:rPr>
                <w:rFonts w:eastAsia="仿宋_GB2312"/>
                <w:sz w:val="28"/>
                <w:szCs w:val="28"/>
              </w:rPr>
            </w:pPr>
            <w:r>
              <w:rPr>
                <w:rFonts w:hint="eastAsia" w:eastAsia="仿宋_GB2312"/>
                <w:sz w:val="28"/>
                <w:szCs w:val="28"/>
              </w:rPr>
              <w:t>法定代表人参加谈判的，必须提供本人身份证原件的复印件（须加盖公章）；非法定代表人参加的，必须提供法定代表人签名或盖章的授权委托书及被委托授权人身份证这两项原件的复印件（须加盖公章）；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779" w:type="dxa"/>
            <w:vAlign w:val="center"/>
          </w:tcPr>
          <w:p>
            <w:pPr>
              <w:spacing w:line="360" w:lineRule="exact"/>
              <w:jc w:val="center"/>
              <w:rPr>
                <w:rFonts w:eastAsia="仿宋_GB2312"/>
                <w:sz w:val="28"/>
                <w:szCs w:val="28"/>
              </w:rPr>
            </w:pPr>
            <w:r>
              <w:rPr>
                <w:rFonts w:hint="eastAsia" w:eastAsia="仿宋_GB2312"/>
                <w:sz w:val="28"/>
                <w:szCs w:val="28"/>
              </w:rPr>
              <w:t>3</w:t>
            </w:r>
          </w:p>
        </w:tc>
        <w:tc>
          <w:tcPr>
            <w:tcW w:w="8101" w:type="dxa"/>
            <w:vAlign w:val="center"/>
          </w:tcPr>
          <w:p>
            <w:pPr>
              <w:spacing w:line="360" w:lineRule="exact"/>
              <w:jc w:val="left"/>
              <w:rPr>
                <w:rFonts w:eastAsia="仿宋_GB2312"/>
                <w:sz w:val="28"/>
                <w:szCs w:val="28"/>
              </w:rPr>
            </w:pPr>
            <w:r>
              <w:rPr>
                <w:rFonts w:hint="eastAsia" w:eastAsia="仿宋_GB2312"/>
                <w:sz w:val="28"/>
                <w:szCs w:val="28"/>
              </w:rPr>
              <w:t>具有组织体育赛事的经验，提供2016年1月1日至今，与本项目相似的赛事组织案例提供合同或证明材料的复印件（须加盖公章）；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779" w:type="dxa"/>
            <w:vAlign w:val="center"/>
          </w:tcPr>
          <w:p>
            <w:pPr>
              <w:spacing w:line="360" w:lineRule="exact"/>
              <w:jc w:val="center"/>
              <w:rPr>
                <w:rFonts w:eastAsia="仿宋_GB2312"/>
                <w:sz w:val="28"/>
                <w:szCs w:val="28"/>
              </w:rPr>
            </w:pPr>
            <w:r>
              <w:rPr>
                <w:rFonts w:hint="eastAsia" w:eastAsia="仿宋_GB2312"/>
                <w:sz w:val="28"/>
                <w:szCs w:val="28"/>
              </w:rPr>
              <w:t>4</w:t>
            </w:r>
          </w:p>
        </w:tc>
        <w:tc>
          <w:tcPr>
            <w:tcW w:w="8101" w:type="dxa"/>
            <w:vAlign w:val="center"/>
          </w:tcPr>
          <w:p>
            <w:pPr>
              <w:spacing w:line="360" w:lineRule="exact"/>
              <w:jc w:val="left"/>
              <w:rPr>
                <w:rFonts w:eastAsia="仿宋_GB2312"/>
                <w:sz w:val="28"/>
                <w:szCs w:val="28"/>
              </w:rPr>
            </w:pPr>
            <w:r>
              <w:rPr>
                <w:rFonts w:hint="eastAsia" w:eastAsia="仿宋_GB2312"/>
                <w:sz w:val="28"/>
                <w:szCs w:val="28"/>
              </w:rPr>
              <w:t>谈判供应商须提供参与本次项目政府采购活动前三年内在经营活动中没有重大违法记录的书面《无重大违法记录声明函》原件的复印件（须加盖公章）；</w:t>
            </w:r>
          </w:p>
        </w:tc>
      </w:tr>
    </w:tbl>
    <w:p>
      <w:pPr>
        <w:spacing w:line="480" w:lineRule="exact"/>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三、技术磋商响应文件（单独密封）：</w:t>
      </w:r>
    </w:p>
    <w:p>
      <w:pPr>
        <w:adjustRightInd w:val="0"/>
        <w:snapToGrid w:val="0"/>
        <w:spacing w:line="480" w:lineRule="exact"/>
        <w:ind w:firstLine="484" w:firstLineChars="202"/>
        <w:jc w:val="left"/>
        <w:rPr>
          <w:rFonts w:ascii="宋体" w:hAnsi="宋体" w:cs="宋体"/>
          <w:bCs/>
          <w:sz w:val="24"/>
          <w:szCs w:val="24"/>
        </w:rPr>
      </w:pPr>
      <w:r>
        <w:rPr>
          <w:rFonts w:hint="eastAsia" w:ascii="宋体" w:hAnsi="宋体" w:cs="宋体"/>
          <w:bCs/>
          <w:sz w:val="24"/>
          <w:szCs w:val="24"/>
        </w:rPr>
        <w:t>1、磋商文件中评审方法所涉及的事项需提供的所有资料；</w:t>
      </w:r>
    </w:p>
    <w:p>
      <w:pPr>
        <w:snapToGrid w:val="0"/>
        <w:spacing w:line="480" w:lineRule="exact"/>
        <w:ind w:firstLine="480" w:firstLineChars="200"/>
        <w:rPr>
          <w:rFonts w:ascii="宋体" w:hAnsi="宋体" w:cs="宋体"/>
          <w:b/>
          <w:sz w:val="24"/>
          <w:szCs w:val="24"/>
        </w:rPr>
      </w:pPr>
      <w:r>
        <w:rPr>
          <w:rFonts w:hint="eastAsia" w:ascii="宋体" w:hAnsi="宋体" w:cs="宋体"/>
          <w:bCs/>
          <w:sz w:val="24"/>
          <w:szCs w:val="24"/>
        </w:rPr>
        <w:t>2、磋商文件中未涉及的事项，投标供应商认为需要提交的其他资料。</w:t>
      </w:r>
    </w:p>
    <w:p>
      <w:pPr>
        <w:adjustRightInd w:val="0"/>
        <w:snapToGrid w:val="0"/>
        <w:spacing w:line="480" w:lineRule="exact"/>
        <w:ind w:firstLine="482" w:firstLineChars="200"/>
        <w:jc w:val="left"/>
        <w:rPr>
          <w:rFonts w:ascii="宋体" w:hAnsi="宋体" w:cs="宋体"/>
          <w:b/>
          <w:bCs/>
          <w:sz w:val="24"/>
          <w:szCs w:val="24"/>
        </w:rPr>
      </w:pPr>
      <w:r>
        <w:rPr>
          <w:rFonts w:hint="eastAsia" w:ascii="宋体" w:hAnsi="宋体" w:cs="宋体"/>
          <w:b/>
          <w:bCs/>
          <w:sz w:val="24"/>
          <w:szCs w:val="24"/>
        </w:rPr>
        <w:t>四、商务报价响应文件（单独密封）</w:t>
      </w:r>
    </w:p>
    <w:p>
      <w:pPr>
        <w:spacing w:line="480" w:lineRule="exact"/>
        <w:ind w:firstLine="480" w:firstLineChars="200"/>
        <w:rPr>
          <w:rFonts w:ascii="宋体" w:hAnsi="宋体" w:cs="宋体"/>
          <w:sz w:val="24"/>
          <w:szCs w:val="24"/>
        </w:rPr>
      </w:pPr>
      <w:r>
        <w:rPr>
          <w:rFonts w:hint="eastAsia" w:ascii="宋体" w:hAnsi="宋体" w:cs="宋体"/>
          <w:sz w:val="24"/>
          <w:szCs w:val="24"/>
        </w:rPr>
        <w:t>1.竞争性磋商响应函（格式参见第八章）；</w:t>
      </w:r>
    </w:p>
    <w:p>
      <w:pPr>
        <w:spacing w:line="480" w:lineRule="exact"/>
        <w:ind w:firstLine="480" w:firstLineChars="200"/>
        <w:rPr>
          <w:rFonts w:ascii="宋体" w:hAnsi="宋体" w:cs="宋体"/>
          <w:sz w:val="24"/>
          <w:szCs w:val="24"/>
        </w:rPr>
      </w:pPr>
      <w:r>
        <w:rPr>
          <w:rFonts w:hint="eastAsia" w:ascii="宋体" w:hAnsi="宋体" w:cs="宋体"/>
          <w:sz w:val="24"/>
          <w:szCs w:val="24"/>
        </w:rPr>
        <w:t>2.磋商响应报价表（格式参见第八章）；</w:t>
      </w:r>
    </w:p>
    <w:p>
      <w:pPr>
        <w:widowControl/>
        <w:jc w:val="left"/>
        <w:rPr>
          <w:rFonts w:ascii="宋体" w:hAnsi="宋体" w:cs="宋体"/>
          <w:b/>
          <w:bCs/>
          <w:sz w:val="24"/>
          <w:szCs w:val="24"/>
        </w:rPr>
      </w:pPr>
      <w:r>
        <w:rPr>
          <w:rFonts w:hint="eastAsia" w:ascii="宋体" w:hAnsi="宋体" w:cs="宋体"/>
          <w:b/>
          <w:sz w:val="24"/>
          <w:szCs w:val="24"/>
        </w:rPr>
        <w:br w:type="page"/>
      </w:r>
      <w:r>
        <w:rPr>
          <w:rFonts w:hint="eastAsia" w:ascii="宋体" w:hAnsi="宋体" w:cs="宋体"/>
          <w:b/>
          <w:sz w:val="24"/>
          <w:szCs w:val="24"/>
        </w:rPr>
        <w:t>附件:</w:t>
      </w:r>
    </w:p>
    <w:p>
      <w:pPr>
        <w:snapToGrid w:val="0"/>
        <w:spacing w:line="520" w:lineRule="exact"/>
        <w:jc w:val="center"/>
        <w:outlineLvl w:val="4"/>
        <w:rPr>
          <w:rFonts w:eastAsia="仿宋_GB2312"/>
          <w:b/>
          <w:bCs/>
          <w:sz w:val="28"/>
          <w:szCs w:val="28"/>
        </w:rPr>
      </w:pPr>
      <w:r>
        <w:rPr>
          <w:rFonts w:hint="eastAsia" w:eastAsia="仿宋_GB2312"/>
          <w:b/>
          <w:bCs/>
          <w:sz w:val="28"/>
          <w:szCs w:val="28"/>
        </w:rPr>
        <w:t>1、法定代表人身份证明</w:t>
      </w:r>
    </w:p>
    <w:p>
      <w:pPr>
        <w:snapToGrid w:val="0"/>
        <w:spacing w:line="520" w:lineRule="exact"/>
        <w:jc w:val="center"/>
        <w:rPr>
          <w:rFonts w:ascii="宋体" w:hAnsi="宋体" w:cs="宋体"/>
          <w:sz w:val="24"/>
          <w:szCs w:val="24"/>
        </w:rPr>
      </w:pPr>
      <w:r>
        <w:rPr>
          <w:rFonts w:hint="eastAsia" w:ascii="宋体" w:hAnsi="宋体" w:cs="宋体"/>
          <w:sz w:val="24"/>
          <w:szCs w:val="24"/>
        </w:rPr>
        <w:t>（法定代表人参加投标，须出示此证明）</w:t>
      </w:r>
    </w:p>
    <w:p>
      <w:pPr>
        <w:snapToGrid w:val="0"/>
        <w:spacing w:line="520" w:lineRule="exact"/>
        <w:jc w:val="center"/>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南通市体育局：</w:t>
      </w:r>
    </w:p>
    <w:p>
      <w:pPr>
        <w:snapToGrid w:val="0"/>
        <w:spacing w:line="520" w:lineRule="exact"/>
        <w:ind w:firstLine="480" w:firstLineChars="200"/>
        <w:rPr>
          <w:rFonts w:ascii="宋体" w:hAnsi="宋体" w:cs="宋体"/>
          <w:sz w:val="24"/>
          <w:szCs w:val="24"/>
          <w:u w:val="single"/>
        </w:rPr>
      </w:pPr>
      <w:r>
        <w:rPr>
          <w:rFonts w:hint="eastAsia" w:ascii="宋体" w:hAnsi="宋体" w:cs="宋体"/>
          <w:sz w:val="24"/>
          <w:szCs w:val="24"/>
        </w:rPr>
        <w:t>我公司法定代表人</w:t>
      </w:r>
      <w:r>
        <w:rPr>
          <w:rFonts w:hint="eastAsia" w:ascii="宋体" w:hAnsi="宋体" w:cs="宋体"/>
          <w:sz w:val="24"/>
          <w:szCs w:val="24"/>
          <w:u w:val="single"/>
        </w:rPr>
        <w:t xml:space="preserve">       </w:t>
      </w:r>
      <w:r>
        <w:rPr>
          <w:rFonts w:hint="eastAsia" w:ascii="宋体" w:hAnsi="宋体" w:cs="宋体"/>
          <w:sz w:val="24"/>
          <w:szCs w:val="24"/>
        </w:rPr>
        <w:t>参加贵单位组织的</w:t>
      </w:r>
      <w:r>
        <w:rPr>
          <w:rFonts w:hint="eastAsia" w:ascii="宋体" w:hAnsi="宋体" w:cs="宋体"/>
          <w:sz w:val="24"/>
          <w:szCs w:val="24"/>
          <w:u w:val="single"/>
        </w:rPr>
        <w:t xml:space="preserve">2019年南通市青少年体育比赛游泳比赛赛事承办项目 </w:t>
      </w:r>
      <w:r>
        <w:rPr>
          <w:rFonts w:hint="eastAsia" w:ascii="宋体" w:hAnsi="宋体" w:cs="宋体"/>
          <w:sz w:val="24"/>
          <w:szCs w:val="24"/>
        </w:rPr>
        <w:t>（竞争性谈判项目名称)项目的磋商活动，全权代表我公司处理该磋商活动的有关事宜。</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附：法定代表人情况：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法定代表人身份证复印件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jc w:val="center"/>
        <w:rPr>
          <w:rFonts w:ascii="宋体" w:hAnsi="宋体" w:cs="宋体"/>
          <w:sz w:val="24"/>
          <w:szCs w:val="24"/>
        </w:rPr>
      </w:pPr>
      <w:r>
        <w:rPr>
          <w:rFonts w:hint="eastAsia" w:ascii="宋体" w:hAnsi="宋体" w:cs="宋体"/>
          <w:sz w:val="24"/>
          <w:szCs w:val="24"/>
        </w:rPr>
        <w:t>（粘贴此处）</w:t>
      </w:r>
    </w:p>
    <w:p>
      <w:pPr>
        <w:snapToGrid w:val="0"/>
        <w:spacing w:line="520" w:lineRule="exact"/>
        <w:ind w:firstLine="482" w:firstLineChars="200"/>
        <w:rPr>
          <w:rFonts w:ascii="宋体" w:hAnsi="宋体" w:cs="宋体"/>
          <w:b/>
          <w:bCs/>
          <w:sz w:val="24"/>
          <w:szCs w:val="24"/>
        </w:rPr>
      </w:pPr>
    </w:p>
    <w:p>
      <w:pPr>
        <w:snapToGrid w:val="0"/>
        <w:spacing w:line="520" w:lineRule="exact"/>
        <w:ind w:firstLine="482" w:firstLineChars="200"/>
        <w:rPr>
          <w:rFonts w:ascii="宋体" w:hAnsi="宋体" w:cs="宋体"/>
          <w:b/>
          <w:bCs/>
          <w:sz w:val="24"/>
          <w:szCs w:val="24"/>
        </w:rPr>
      </w:pPr>
    </w:p>
    <w:p>
      <w:pPr>
        <w:snapToGrid w:val="0"/>
        <w:spacing w:line="520" w:lineRule="exact"/>
        <w:ind w:firstLine="482" w:firstLineChars="200"/>
        <w:rPr>
          <w:rFonts w:ascii="宋体" w:hAnsi="宋体" w:cs="宋体"/>
          <w:b/>
          <w:bCs/>
          <w:sz w:val="24"/>
          <w:szCs w:val="24"/>
        </w:rPr>
      </w:pPr>
    </w:p>
    <w:p>
      <w:pPr>
        <w:snapToGrid w:val="0"/>
        <w:spacing w:line="520" w:lineRule="exact"/>
        <w:ind w:firstLine="482" w:firstLineChars="200"/>
        <w:rPr>
          <w:rFonts w:ascii="宋体" w:hAnsi="宋体" w:cs="宋体"/>
          <w:b/>
          <w:bCs/>
          <w:sz w:val="24"/>
          <w:szCs w:val="24"/>
        </w:rPr>
      </w:pPr>
    </w:p>
    <w:p>
      <w:pPr>
        <w:snapToGrid w:val="0"/>
        <w:spacing w:line="520" w:lineRule="exact"/>
        <w:ind w:firstLine="482" w:firstLineChars="200"/>
        <w:rPr>
          <w:rFonts w:ascii="宋体" w:hAnsi="宋体" w:cs="宋体"/>
          <w:b/>
          <w:bCs/>
          <w:sz w:val="24"/>
          <w:szCs w:val="24"/>
        </w:rPr>
      </w:pPr>
      <w:r>
        <w:rPr>
          <w:rFonts w:hint="eastAsia" w:ascii="宋体" w:hAnsi="宋体" w:cs="宋体"/>
          <w:b/>
          <w:bCs/>
          <w:sz w:val="24"/>
          <w:szCs w:val="24"/>
        </w:rPr>
        <w:t>注:参加磋商活动时法定代表人将身份证原件带至开标现场备查。</w:t>
      </w:r>
    </w:p>
    <w:p>
      <w:pPr>
        <w:snapToGrid w:val="0"/>
        <w:spacing w:line="520" w:lineRule="exact"/>
        <w:jc w:val="center"/>
        <w:outlineLvl w:val="4"/>
        <w:rPr>
          <w:rFonts w:eastAsia="仿宋_GB2312"/>
          <w:b/>
          <w:bCs/>
          <w:sz w:val="28"/>
          <w:szCs w:val="28"/>
        </w:rPr>
      </w:pPr>
      <w:r>
        <w:rPr>
          <w:rFonts w:hint="eastAsia" w:ascii="宋体" w:hAnsi="宋体" w:cs="宋体"/>
          <w:b/>
          <w:bCs/>
          <w:sz w:val="24"/>
          <w:szCs w:val="24"/>
        </w:rPr>
        <w:br w:type="page"/>
      </w:r>
      <w:r>
        <w:rPr>
          <w:rFonts w:hint="eastAsia" w:eastAsia="仿宋_GB2312"/>
          <w:b/>
          <w:bCs/>
          <w:sz w:val="28"/>
          <w:szCs w:val="28"/>
        </w:rPr>
        <w:t>2、授权委托书</w:t>
      </w:r>
    </w:p>
    <w:p>
      <w:pPr>
        <w:snapToGrid w:val="0"/>
        <w:spacing w:line="520" w:lineRule="exact"/>
        <w:jc w:val="center"/>
        <w:rPr>
          <w:rFonts w:ascii="宋体" w:hAnsi="宋体" w:cs="宋体"/>
          <w:sz w:val="24"/>
          <w:szCs w:val="24"/>
        </w:rPr>
      </w:pPr>
      <w:r>
        <w:rPr>
          <w:rFonts w:hint="eastAsia" w:ascii="宋体" w:hAnsi="宋体" w:cs="宋体"/>
          <w:sz w:val="24"/>
          <w:szCs w:val="24"/>
        </w:rPr>
        <w:t>（委托代理人参加投标，须出示此证明）</w:t>
      </w:r>
    </w:p>
    <w:p>
      <w:pPr>
        <w:snapToGrid w:val="0"/>
        <w:spacing w:line="520" w:lineRule="exact"/>
        <w:rPr>
          <w:rFonts w:ascii="宋体" w:hAnsi="宋体" w:cs="宋体"/>
          <w:bCs/>
          <w:sz w:val="24"/>
          <w:szCs w:val="24"/>
        </w:rPr>
      </w:pPr>
      <w:r>
        <w:rPr>
          <w:rFonts w:hint="eastAsia" w:ascii="宋体" w:hAnsi="宋体" w:cs="宋体"/>
          <w:sz w:val="24"/>
          <w:szCs w:val="24"/>
        </w:rPr>
        <w:t>南通市体育局：</w:t>
      </w:r>
    </w:p>
    <w:p>
      <w:pPr>
        <w:snapToGrid w:val="0"/>
        <w:spacing w:line="520" w:lineRule="exact"/>
        <w:ind w:left="1" w:firstLine="480" w:firstLineChars="200"/>
        <w:rPr>
          <w:rFonts w:ascii="宋体" w:hAnsi="宋体" w:cs="宋体"/>
          <w:sz w:val="24"/>
          <w:szCs w:val="24"/>
          <w:u w:val="single"/>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w:t>
      </w:r>
      <w:r>
        <w:rPr>
          <w:rFonts w:hint="eastAsia" w:ascii="宋体" w:hAnsi="宋体" w:cs="宋体"/>
          <w:sz w:val="24"/>
          <w:szCs w:val="24"/>
          <w:u w:val="single"/>
        </w:rPr>
        <w:t>2019年南通市青少年体育比赛游泳比赛赛事承办项目</w:t>
      </w:r>
      <w:r>
        <w:rPr>
          <w:rFonts w:hint="eastAsia" w:ascii="宋体" w:hAnsi="宋体" w:cs="宋体"/>
          <w:sz w:val="24"/>
          <w:szCs w:val="24"/>
        </w:rPr>
        <w:t>（磋商项目名称)项目的磋商活动，全权处理一切与该项目磋商有关的事务。其在办理上述事宜过程中所签署的所有文件我公司均予以承认。</w:t>
      </w:r>
    </w:p>
    <w:p>
      <w:pPr>
        <w:snapToGrid w:val="0"/>
        <w:spacing w:line="520" w:lineRule="exact"/>
        <w:ind w:left="1" w:firstLine="480" w:firstLineChars="200"/>
        <w:rPr>
          <w:rFonts w:ascii="宋体" w:hAnsi="宋体" w:cs="宋体"/>
          <w:sz w:val="24"/>
          <w:szCs w:val="24"/>
        </w:rPr>
      </w:pPr>
      <w:r>
        <w:rPr>
          <w:rFonts w:hint="eastAsia" w:ascii="宋体" w:hAnsi="宋体" w:cs="宋体"/>
          <w:sz w:val="24"/>
          <w:szCs w:val="24"/>
        </w:rPr>
        <w:t>被授权人无转委托权。特此委托。</w:t>
      </w:r>
    </w:p>
    <w:p>
      <w:pPr>
        <w:snapToGrid w:val="0"/>
        <w:spacing w:line="520" w:lineRule="exact"/>
        <w:ind w:left="1" w:firstLine="480" w:firstLineChars="200"/>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附：被授权人情况：</w:t>
      </w:r>
    </w:p>
    <w:p>
      <w:pPr>
        <w:snapToGrid w:val="0"/>
        <w:spacing w:line="520" w:lineRule="exact"/>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w:t>
      </w:r>
      <w:r>
        <w:rPr>
          <w:rFonts w:hint="eastAsia" w:ascii="宋体" w:hAnsi="宋体" w:cs="宋体"/>
          <w:sz w:val="24"/>
          <w:szCs w:val="24"/>
          <w:u w:val="single"/>
        </w:rPr>
        <w:t xml:space="preserve">                        </w:t>
      </w:r>
    </w:p>
    <w:p>
      <w:pPr>
        <w:snapToGrid w:val="0"/>
        <w:spacing w:line="520" w:lineRule="exact"/>
        <w:rPr>
          <w:rFonts w:ascii="宋体" w:hAnsi="宋体" w:cs="宋体"/>
          <w:sz w:val="24"/>
          <w:szCs w:val="24"/>
        </w:rPr>
      </w:pPr>
      <w:r>
        <w:rPr>
          <w:rFonts w:hint="eastAsia" w:ascii="宋体" w:hAnsi="宋体" w:cs="宋体"/>
          <w:sz w:val="24"/>
          <w:szCs w:val="24"/>
        </w:rPr>
        <w:t> </w:t>
      </w:r>
    </w:p>
    <w:p>
      <w:pPr>
        <w:snapToGrid w:val="0"/>
        <w:spacing w:line="520" w:lineRule="exact"/>
        <w:rPr>
          <w:rFonts w:ascii="宋体" w:hAnsi="宋体" w:cs="宋体"/>
          <w:sz w:val="24"/>
          <w:szCs w:val="24"/>
        </w:rPr>
      </w:pPr>
      <w:r>
        <w:rPr>
          <w:rFonts w:hint="eastAsia" w:ascii="宋体" w:hAnsi="宋体" w:cs="宋体"/>
          <w:sz w:val="24"/>
          <w:szCs w:val="24"/>
        </w:rPr>
        <w:t>单位名称（公章）             法定代表人（签字或盖章）</w:t>
      </w:r>
    </w:p>
    <w:p>
      <w:pPr>
        <w:snapToGrid w:val="0"/>
        <w:spacing w:line="520" w:lineRule="exact"/>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r>
        <w:rPr>
          <w:rFonts w:hint="eastAsia" w:ascii="宋体" w:hAnsi="宋体" w:cs="宋体"/>
          <w:sz w:val="24"/>
          <w:szCs w:val="24"/>
        </w:rPr>
        <w:t>被授权人身份证复印件</w:t>
      </w: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rPr>
          <w:rFonts w:ascii="宋体" w:hAnsi="宋体" w:cs="宋体"/>
          <w:sz w:val="24"/>
          <w:szCs w:val="24"/>
        </w:rPr>
      </w:pPr>
    </w:p>
    <w:p>
      <w:pPr>
        <w:snapToGrid w:val="0"/>
        <w:spacing w:line="520" w:lineRule="exact"/>
        <w:jc w:val="center"/>
        <w:rPr>
          <w:rFonts w:ascii="宋体" w:hAnsi="宋体" w:cs="宋体"/>
          <w:b/>
          <w:bCs/>
          <w:sz w:val="24"/>
          <w:szCs w:val="24"/>
        </w:rPr>
      </w:pPr>
      <w:r>
        <w:rPr>
          <w:rFonts w:hint="eastAsia" w:ascii="宋体" w:hAnsi="宋体" w:cs="宋体"/>
          <w:sz w:val="24"/>
          <w:szCs w:val="24"/>
        </w:rPr>
        <w:t>（粘贴此处）</w:t>
      </w:r>
    </w:p>
    <w:p>
      <w:pPr>
        <w:snapToGrid w:val="0"/>
        <w:spacing w:line="520" w:lineRule="exact"/>
        <w:ind w:firstLine="482" w:firstLineChars="200"/>
        <w:jc w:val="center"/>
        <w:rPr>
          <w:rFonts w:ascii="宋体" w:hAnsi="宋体" w:cs="宋体"/>
          <w:b/>
          <w:bCs/>
          <w:sz w:val="24"/>
          <w:szCs w:val="24"/>
        </w:rPr>
      </w:pPr>
      <w:r>
        <w:rPr>
          <w:rFonts w:hint="eastAsia" w:ascii="宋体" w:hAnsi="宋体" w:cs="宋体"/>
          <w:b/>
          <w:bCs/>
          <w:sz w:val="24"/>
          <w:szCs w:val="24"/>
        </w:rPr>
        <w:t>注:参加磋商活动时被授权人将身份证原件带至开标现场备查。</w:t>
      </w:r>
    </w:p>
    <w:p>
      <w:pPr>
        <w:snapToGrid w:val="0"/>
        <w:spacing w:line="420" w:lineRule="exact"/>
        <w:jc w:val="center"/>
        <w:rPr>
          <w:rFonts w:eastAsia="仿宋_GB2312"/>
          <w:b/>
          <w:bCs/>
          <w:sz w:val="28"/>
          <w:szCs w:val="28"/>
        </w:rPr>
      </w:pPr>
      <w:r>
        <w:rPr>
          <w:rFonts w:hint="eastAsia" w:eastAsia="仿宋_GB2312"/>
          <w:b/>
          <w:bCs/>
          <w:sz w:val="24"/>
          <w:szCs w:val="24"/>
        </w:rPr>
        <w:br w:type="page"/>
      </w:r>
      <w:r>
        <w:rPr>
          <w:rFonts w:hint="eastAsia" w:eastAsia="仿宋_GB2312"/>
          <w:b/>
          <w:bCs/>
          <w:sz w:val="28"/>
          <w:szCs w:val="28"/>
        </w:rPr>
        <w:t>3、无重大违法记录声明</w:t>
      </w:r>
    </w:p>
    <w:p>
      <w:pPr>
        <w:snapToGrid w:val="0"/>
        <w:spacing w:line="420" w:lineRule="exact"/>
        <w:jc w:val="left"/>
        <w:rPr>
          <w:rFonts w:ascii="仿宋_GB2312" w:eastAsia="仿宋_GB2312"/>
          <w:sz w:val="24"/>
          <w:szCs w:val="24"/>
        </w:rPr>
      </w:pPr>
    </w:p>
    <w:p>
      <w:pPr>
        <w:snapToGrid w:val="0"/>
        <w:spacing w:line="520" w:lineRule="atLeast"/>
        <w:jc w:val="left"/>
        <w:rPr>
          <w:rFonts w:ascii="仿宋_GB2312" w:eastAsia="仿宋_GB2312"/>
          <w:sz w:val="24"/>
          <w:szCs w:val="24"/>
        </w:rPr>
      </w:pPr>
      <w:r>
        <w:rPr>
          <w:rFonts w:hint="eastAsia" w:ascii="宋体" w:hAnsi="宋体" w:cs="宋体"/>
          <w:sz w:val="28"/>
          <w:szCs w:val="28"/>
        </w:rPr>
        <w:t>南通市体育局：</w:t>
      </w:r>
    </w:p>
    <w:p>
      <w:pPr>
        <w:spacing w:line="520" w:lineRule="atLeast"/>
        <w:rPr>
          <w:rFonts w:ascii="宋体" w:hAnsi="宋体" w:cs="宋体"/>
          <w:sz w:val="28"/>
          <w:szCs w:val="28"/>
        </w:rPr>
      </w:pPr>
      <w:r>
        <w:rPr>
          <w:rFonts w:hint="eastAsia" w:ascii="仿宋_GB2312" w:hAnsi="黑体" w:eastAsia="仿宋_GB2312"/>
          <w:sz w:val="24"/>
          <w:szCs w:val="24"/>
        </w:rPr>
        <w:t xml:space="preserve">    </w:t>
      </w:r>
      <w:r>
        <w:rPr>
          <w:rFonts w:hint="eastAsia" w:ascii="宋体" w:hAnsi="宋体" w:cs="宋体"/>
          <w:sz w:val="28"/>
          <w:szCs w:val="28"/>
        </w:rPr>
        <w:t>我单位</w:t>
      </w:r>
      <w:r>
        <w:rPr>
          <w:rFonts w:hint="eastAsia" w:ascii="宋体" w:hAnsi="宋体" w:cs="宋体"/>
          <w:sz w:val="28"/>
          <w:szCs w:val="28"/>
          <w:u w:val="single"/>
        </w:rPr>
        <w:t xml:space="preserve">                                       </w:t>
      </w:r>
      <w:r>
        <w:rPr>
          <w:rFonts w:hint="eastAsia" w:ascii="宋体" w:hAnsi="宋体" w:cs="宋体"/>
          <w:sz w:val="28"/>
          <w:szCs w:val="28"/>
        </w:rPr>
        <w:t>（供应商名称）郑重声明：</w:t>
      </w:r>
    </w:p>
    <w:p>
      <w:pPr>
        <w:spacing w:line="520" w:lineRule="atLeast"/>
        <w:rPr>
          <w:rFonts w:ascii="宋体" w:hAnsi="宋体" w:cs="宋体"/>
          <w:sz w:val="28"/>
          <w:szCs w:val="28"/>
        </w:rPr>
      </w:pPr>
      <w:r>
        <w:rPr>
          <w:rFonts w:hint="eastAsia" w:ascii="宋体" w:hAnsi="宋体" w:cs="宋体"/>
          <w:sz w:val="28"/>
          <w:szCs w:val="28"/>
        </w:rPr>
        <w:t xml:space="preserve">    参加政府采购活动前3年内在经营活动中</w:t>
      </w:r>
      <w:r>
        <w:rPr>
          <w:rFonts w:hint="eastAsia" w:ascii="宋体" w:hAnsi="宋体" w:cs="宋体"/>
          <w:sz w:val="28"/>
          <w:szCs w:val="28"/>
          <w:u w:val="single"/>
        </w:rPr>
        <w:t xml:space="preserve">        </w:t>
      </w:r>
      <w:r>
        <w:rPr>
          <w:rFonts w:hint="eastAsia" w:ascii="宋体" w:hAnsi="宋体" w:cs="宋体"/>
          <w:sz w:val="28"/>
          <w:szCs w:val="28"/>
        </w:rPr>
        <w:t>（在下划线上如实填写：有或没有）重大违法记录。</w:t>
      </w:r>
    </w:p>
    <w:p>
      <w:pPr>
        <w:spacing w:line="520" w:lineRule="atLeast"/>
        <w:ind w:firstLine="480"/>
        <w:rPr>
          <w:rFonts w:ascii="宋体" w:hAnsi="宋体" w:cs="宋体"/>
          <w:sz w:val="28"/>
          <w:szCs w:val="28"/>
        </w:rPr>
      </w:pPr>
      <w:r>
        <w:rPr>
          <w:rFonts w:hint="eastAsia" w:ascii="宋体" w:hAnsi="宋体" w:cs="宋体"/>
          <w:sz w:val="28"/>
          <w:szCs w:val="28"/>
        </w:rPr>
        <w:t>（说明：政府采购法第二十二条第一款第五项所称重大违法记录，是指供应商因违法经营受到刑事处罚或者责令停产停业、吊销许可证或者执照、较大数额罚款等行政处罚。）</w:t>
      </w:r>
    </w:p>
    <w:p>
      <w:pPr>
        <w:spacing w:line="520" w:lineRule="atLeast"/>
        <w:ind w:firstLine="480"/>
        <w:rPr>
          <w:rFonts w:ascii="宋体" w:hAnsi="宋体" w:cs="宋体"/>
          <w:sz w:val="28"/>
          <w:szCs w:val="28"/>
        </w:rPr>
      </w:pPr>
    </w:p>
    <w:p>
      <w:pPr>
        <w:spacing w:line="520" w:lineRule="atLeast"/>
        <w:rPr>
          <w:rFonts w:ascii="宋体" w:hAnsi="宋体" w:cs="宋体"/>
          <w:sz w:val="28"/>
          <w:szCs w:val="28"/>
        </w:rPr>
      </w:pPr>
      <w:r>
        <w:rPr>
          <w:rFonts w:hint="eastAsia" w:ascii="宋体" w:hAnsi="宋体" w:cs="宋体"/>
          <w:sz w:val="28"/>
          <w:szCs w:val="28"/>
        </w:rPr>
        <w:t xml:space="preserve">                                           声明人：（公章）</w:t>
      </w:r>
    </w:p>
    <w:p>
      <w:pPr>
        <w:spacing w:line="520" w:lineRule="atLeast"/>
        <w:jc w:val="center"/>
        <w:rPr>
          <w:rFonts w:ascii="宋体" w:hAnsi="宋体" w:cs="宋体"/>
          <w:sz w:val="28"/>
          <w:szCs w:val="28"/>
        </w:rPr>
      </w:pPr>
      <w:r>
        <w:rPr>
          <w:rFonts w:hint="eastAsia" w:ascii="宋体" w:hAnsi="宋体" w:cs="宋体"/>
          <w:sz w:val="28"/>
          <w:szCs w:val="28"/>
        </w:rPr>
        <w:t xml:space="preserve">                                    年     月    日</w:t>
      </w:r>
    </w:p>
    <w:p>
      <w:pPr>
        <w:overflowPunct w:val="0"/>
        <w:adjustRightInd w:val="0"/>
        <w:spacing w:line="520" w:lineRule="atLeast"/>
        <w:ind w:firstLine="420"/>
        <w:jc w:val="left"/>
        <w:textAlignment w:val="baseline"/>
        <w:rPr>
          <w:rFonts w:ascii="仿宋_GB2312" w:hAnsi="宋体" w:eastAsia="仿宋_GB2312"/>
          <w:sz w:val="24"/>
          <w:szCs w:val="24"/>
        </w:rPr>
      </w:pPr>
    </w:p>
    <w:p>
      <w:pPr>
        <w:snapToGrid w:val="0"/>
        <w:spacing w:line="520" w:lineRule="exact"/>
        <w:ind w:firstLine="482" w:firstLineChars="200"/>
        <w:jc w:val="center"/>
        <w:rPr>
          <w:rFonts w:ascii="宋体" w:hAnsi="宋体" w:cs="宋体"/>
          <w:b/>
          <w:bCs/>
          <w:sz w:val="24"/>
          <w:szCs w:val="24"/>
        </w:rPr>
      </w:pPr>
    </w:p>
    <w:p>
      <w:pPr>
        <w:snapToGrid w:val="0"/>
        <w:spacing w:line="520" w:lineRule="exact"/>
        <w:ind w:firstLine="482" w:firstLineChars="200"/>
        <w:jc w:val="center"/>
        <w:rPr>
          <w:rFonts w:ascii="宋体" w:hAnsi="宋体" w:cs="宋体"/>
          <w:b/>
          <w:bCs/>
          <w:sz w:val="24"/>
          <w:szCs w:val="24"/>
        </w:rPr>
      </w:pPr>
      <w:r>
        <w:rPr>
          <w:rFonts w:hint="eastAsia" w:ascii="宋体" w:hAnsi="宋体" w:cs="宋体"/>
          <w:b/>
          <w:sz w:val="24"/>
          <w:szCs w:val="24"/>
        </w:rPr>
        <w:br w:type="page"/>
      </w:r>
      <w:r>
        <w:rPr>
          <w:rFonts w:hint="eastAsia" w:ascii="宋体" w:hAnsi="宋体" w:cs="宋体"/>
          <w:b/>
          <w:sz w:val="24"/>
          <w:szCs w:val="24"/>
        </w:rPr>
        <w:t>4</w:t>
      </w:r>
      <w:r>
        <w:rPr>
          <w:rFonts w:hint="eastAsia" w:ascii="宋体" w:hAnsi="宋体" w:cs="宋体"/>
          <w:b/>
          <w:bCs/>
          <w:sz w:val="24"/>
          <w:szCs w:val="24"/>
        </w:rPr>
        <w:t>、竞争性磋商响应函</w:t>
      </w:r>
    </w:p>
    <w:p>
      <w:pPr>
        <w:snapToGrid w:val="0"/>
        <w:spacing w:line="440" w:lineRule="exact"/>
        <w:rPr>
          <w:rFonts w:ascii="宋体" w:hAnsi="宋体" w:cs="宋体"/>
          <w:sz w:val="24"/>
          <w:szCs w:val="24"/>
        </w:rPr>
      </w:pPr>
      <w:r>
        <w:rPr>
          <w:rFonts w:hint="eastAsia" w:ascii="宋体" w:hAnsi="宋体" w:cs="宋体"/>
          <w:sz w:val="24"/>
          <w:szCs w:val="24"/>
          <w:u w:val="single"/>
        </w:rPr>
        <w:t>南通市体育局</w:t>
      </w:r>
      <w:r>
        <w:rPr>
          <w:rFonts w:hint="eastAsia" w:ascii="宋体" w:hAnsi="宋体" w:cs="宋体"/>
          <w:sz w:val="24"/>
          <w:szCs w:val="24"/>
        </w:rPr>
        <w:t>：</w:t>
      </w:r>
    </w:p>
    <w:p>
      <w:pPr>
        <w:snapToGrid w:val="0"/>
        <w:spacing w:line="520" w:lineRule="exact"/>
        <w:ind w:firstLine="480" w:firstLineChars="200"/>
        <w:outlineLvl w:val="3"/>
        <w:rPr>
          <w:rFonts w:ascii="宋体" w:hAnsi="宋体" w:cs="宋体"/>
          <w:sz w:val="24"/>
          <w:szCs w:val="24"/>
          <w:u w:val="single"/>
        </w:rPr>
      </w:pPr>
      <w:r>
        <w:rPr>
          <w:rFonts w:hint="eastAsia" w:ascii="宋体" w:hAnsi="宋体" w:cs="宋体"/>
          <w:sz w:val="24"/>
          <w:szCs w:val="24"/>
        </w:rPr>
        <w:t>依据贵单位委托代理机构组织的</w:t>
      </w:r>
      <w:r>
        <w:rPr>
          <w:rFonts w:hint="eastAsia" w:ascii="宋体" w:hAnsi="宋体" w:cs="宋体"/>
          <w:sz w:val="24"/>
          <w:szCs w:val="24"/>
          <w:u w:val="single"/>
        </w:rPr>
        <w:t>2019年南通市青少年体育比赛游泳比赛赛事承办项目</w:t>
      </w:r>
      <w:r>
        <w:rPr>
          <w:rFonts w:hint="eastAsia" w:ascii="宋体" w:hAnsi="宋体" w:cs="宋体"/>
          <w:sz w:val="24"/>
          <w:szCs w:val="24"/>
        </w:rPr>
        <w:t>（磋商项目名称)项目竞争性磋商的邀请，我方授权</w:t>
      </w:r>
      <w:r>
        <w:rPr>
          <w:rFonts w:hint="eastAsia" w:ascii="宋体" w:hAnsi="宋体" w:cs="宋体"/>
          <w:sz w:val="24"/>
          <w:szCs w:val="24"/>
          <w:u w:val="single"/>
        </w:rPr>
        <w:t xml:space="preserve">       </w:t>
      </w: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（职务）为全权代表参加该项目的磋商工作，全权处理本次竞争性磋商的有关事宜。同时，我公司声明如下：</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3、我公司已毫无保留地向贵方提供一切所需的证明材料。</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ascii="宋体" w:hAnsi="宋体" w:cs="宋体"/>
          <w:b/>
          <w:sz w:val="24"/>
          <w:szCs w:val="24"/>
        </w:rPr>
      </w:pPr>
      <w:r>
        <w:rPr>
          <w:rFonts w:hint="eastAsia" w:ascii="宋体" w:hAnsi="宋体" w:cs="宋体"/>
          <w:sz w:val="24"/>
          <w:szCs w:val="24"/>
        </w:rPr>
        <w:t>5、</w:t>
      </w:r>
      <w:r>
        <w:rPr>
          <w:rFonts w:hint="eastAsia" w:ascii="宋体" w:hAnsi="宋体" w:cs="宋体"/>
          <w:b/>
          <w:sz w:val="24"/>
          <w:szCs w:val="24"/>
        </w:rPr>
        <w:t>我公司尊重磋商小组所作的评定结果，同时清楚理解到报价最低并非意味着必定获得成交资格。</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6、一旦成交，我方承诺无正当理由拒绝签订合同，将被贵方取消成交资格，同意贵方将磋商保证金作为违约金全额不予退还的处理。</w:t>
      </w:r>
    </w:p>
    <w:p>
      <w:pPr>
        <w:snapToGrid w:val="0"/>
        <w:spacing w:line="520" w:lineRule="exact"/>
        <w:ind w:firstLine="480" w:firstLineChars="200"/>
        <w:outlineLvl w:val="3"/>
        <w:rPr>
          <w:rFonts w:ascii="宋体" w:hAnsi="宋体" w:cs="宋体"/>
          <w:sz w:val="24"/>
          <w:szCs w:val="24"/>
        </w:rPr>
      </w:pPr>
      <w:r>
        <w:rPr>
          <w:rFonts w:hint="eastAsia" w:ascii="宋体" w:hAnsi="宋体" w:cs="宋体"/>
          <w:sz w:val="24"/>
          <w:szCs w:val="24"/>
        </w:rPr>
        <w:t>7、</w:t>
      </w:r>
      <w:r>
        <w:rPr>
          <w:rFonts w:hint="eastAsia" w:ascii="宋体" w:hAnsi="宋体" w:cs="宋体"/>
          <w:b/>
          <w:sz w:val="24"/>
          <w:szCs w:val="24"/>
        </w:rPr>
        <w:t>一旦成交，我方将根据竞争性磋商文件的规定，严格履行合同规定的责任和义务，并保证在竞争性磋商文件中规定的时间期限内完成合同项目。</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竞争性磋商响应单位：</w:t>
      </w:r>
      <w:r>
        <w:rPr>
          <w:rFonts w:hint="eastAsia" w:ascii="宋体" w:hAnsi="宋体" w:cs="宋体"/>
          <w:sz w:val="24"/>
          <w:szCs w:val="24"/>
          <w:u w:val="single"/>
        </w:rPr>
        <w:t xml:space="preserve">                    </w:t>
      </w:r>
      <w:r>
        <w:rPr>
          <w:rFonts w:hint="eastAsia" w:ascii="宋体" w:hAnsi="宋体" w:cs="宋体"/>
          <w:sz w:val="24"/>
          <w:szCs w:val="24"/>
        </w:rPr>
        <w:t>（加盖公章）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二○一八年      月     日</w:t>
      </w:r>
    </w:p>
    <w:p>
      <w:pPr>
        <w:snapToGrid w:val="0"/>
        <w:spacing w:line="520" w:lineRule="exact"/>
        <w:outlineLvl w:val="3"/>
        <w:rPr>
          <w:rFonts w:ascii="宋体" w:hAnsi="宋体" w:cs="宋体"/>
          <w:sz w:val="24"/>
          <w:szCs w:val="24"/>
        </w:rPr>
      </w:pPr>
      <w:r>
        <w:rPr>
          <w:rFonts w:hint="eastAsia" w:ascii="宋体" w:hAnsi="宋体" w:cs="宋体"/>
          <w:sz w:val="24"/>
          <w:szCs w:val="24"/>
        </w:rPr>
        <w:t xml:space="preserve"> </w:t>
      </w:r>
    </w:p>
    <w:p>
      <w:pPr>
        <w:spacing w:line="500" w:lineRule="exact"/>
        <w:ind w:left="487"/>
        <w:jc w:val="center"/>
        <w:outlineLvl w:val="3"/>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5、磋商响应报价表</w:t>
      </w:r>
    </w:p>
    <w:p>
      <w:pPr>
        <w:kinsoku w:val="0"/>
        <w:topLinePunct/>
        <w:snapToGrid w:val="0"/>
        <w:spacing w:line="520" w:lineRule="exact"/>
        <w:rPr>
          <w:rFonts w:ascii="宋体" w:hAnsi="宋体" w:cs="宋体"/>
          <w:b/>
          <w:sz w:val="24"/>
          <w:szCs w:val="24"/>
        </w:rPr>
      </w:pPr>
      <w:r>
        <w:rPr>
          <w:rFonts w:hint="eastAsia" w:ascii="宋体" w:hAnsi="宋体" w:cs="宋体"/>
          <w:b/>
          <w:sz w:val="24"/>
          <w:szCs w:val="24"/>
        </w:rPr>
        <w:t>项目名称：2019年南通市青少年体育比赛游泳比赛赛事承办项目</w:t>
      </w:r>
    </w:p>
    <w:tbl>
      <w:tblPr>
        <w:tblStyle w:val="22"/>
        <w:tblW w:w="986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8"/>
        <w:gridCol w:w="2112"/>
        <w:gridCol w:w="4507"/>
        <w:gridCol w:w="21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3" w:hRule="atLeast"/>
        </w:trPr>
        <w:tc>
          <w:tcPr>
            <w:tcW w:w="112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宋体" w:hAnsi="宋体" w:cs="宋体"/>
                <w:b/>
                <w:sz w:val="24"/>
                <w:szCs w:val="24"/>
              </w:rPr>
            </w:pPr>
            <w:r>
              <w:rPr>
                <w:rFonts w:hint="eastAsia" w:ascii="宋体" w:hAnsi="宋体" w:cs="宋体"/>
                <w:b/>
                <w:sz w:val="24"/>
                <w:szCs w:val="24"/>
              </w:rPr>
              <w:t>序号</w:t>
            </w:r>
          </w:p>
        </w:tc>
        <w:tc>
          <w:tcPr>
            <w:tcW w:w="2112"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宋体" w:hAnsi="宋体" w:cs="宋体"/>
                <w:b/>
                <w:sz w:val="24"/>
                <w:szCs w:val="24"/>
              </w:rPr>
            </w:pPr>
            <w:r>
              <w:rPr>
                <w:rFonts w:hint="eastAsia" w:ascii="宋体" w:hAnsi="宋体" w:cs="宋体"/>
                <w:b/>
                <w:sz w:val="24"/>
                <w:szCs w:val="24"/>
              </w:rPr>
              <w:t>报价轮次</w:t>
            </w:r>
          </w:p>
        </w:tc>
        <w:tc>
          <w:tcPr>
            <w:tcW w:w="450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jc w:val="center"/>
              <w:rPr>
                <w:rFonts w:ascii="宋体" w:hAnsi="宋体" w:cs="宋体"/>
                <w:b/>
                <w:sz w:val="24"/>
                <w:szCs w:val="24"/>
              </w:rPr>
            </w:pPr>
            <w:r>
              <w:rPr>
                <w:rFonts w:hint="eastAsia" w:ascii="宋体" w:hAnsi="宋体" w:cs="宋体"/>
                <w:b/>
                <w:sz w:val="24"/>
                <w:szCs w:val="24"/>
              </w:rPr>
              <w:t>磋商总报价（元）</w:t>
            </w:r>
          </w:p>
        </w:tc>
        <w:tc>
          <w:tcPr>
            <w:tcW w:w="211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0" w:hRule="atLeast"/>
        </w:trPr>
        <w:tc>
          <w:tcPr>
            <w:tcW w:w="112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bCs/>
                <w:sz w:val="24"/>
                <w:szCs w:val="24"/>
              </w:rPr>
            </w:pPr>
            <w:r>
              <w:rPr>
                <w:rFonts w:hint="eastAsia" w:ascii="宋体" w:hAnsi="宋体" w:cs="宋体"/>
                <w:bCs/>
                <w:sz w:val="24"/>
                <w:szCs w:val="24"/>
              </w:rPr>
              <w:t>1</w:t>
            </w:r>
          </w:p>
        </w:tc>
        <w:tc>
          <w:tcPr>
            <w:tcW w:w="2112"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bCs/>
                <w:sz w:val="24"/>
                <w:szCs w:val="24"/>
              </w:rPr>
            </w:pPr>
            <w:r>
              <w:rPr>
                <w:rFonts w:hint="eastAsia" w:ascii="宋体" w:hAnsi="宋体" w:cs="宋体"/>
                <w:bCs/>
                <w:sz w:val="24"/>
                <w:szCs w:val="24"/>
              </w:rPr>
              <w:t>首次报价</w:t>
            </w:r>
          </w:p>
        </w:tc>
        <w:tc>
          <w:tcPr>
            <w:tcW w:w="450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sz w:val="24"/>
                <w:szCs w:val="24"/>
              </w:rPr>
            </w:pPr>
            <w:r>
              <w:rPr>
                <w:rFonts w:hint="eastAsia" w:ascii="宋体" w:hAnsi="宋体" w:cs="宋体"/>
                <w:sz w:val="24"/>
                <w:szCs w:val="24"/>
              </w:rPr>
              <w:t>大写（人民币）：</w:t>
            </w:r>
          </w:p>
          <w:p>
            <w:pPr>
              <w:kinsoku w:val="0"/>
              <w:topLinePunct/>
              <w:snapToGrid w:val="0"/>
              <w:spacing w:line="520" w:lineRule="exact"/>
              <w:rPr>
                <w:rFonts w:ascii="宋体" w:hAnsi="宋体" w:cs="宋体"/>
                <w:sz w:val="24"/>
                <w:szCs w:val="24"/>
              </w:rPr>
            </w:pPr>
            <w:r>
              <w:rPr>
                <w:rFonts w:hint="eastAsia" w:ascii="宋体" w:hAnsi="宋体" w:cs="宋体"/>
                <w:sz w:val="24"/>
                <w:szCs w:val="24"/>
              </w:rPr>
              <w:t>小写（￥）：</w:t>
            </w:r>
          </w:p>
        </w:tc>
        <w:tc>
          <w:tcPr>
            <w:tcW w:w="211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sz w:val="24"/>
                <w:szCs w:val="24"/>
              </w:rPr>
            </w:pPr>
            <w:r>
              <w:rPr>
                <w:rFonts w:hint="eastAsia" w:ascii="宋体"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5" w:hRule="atLeast"/>
        </w:trPr>
        <w:tc>
          <w:tcPr>
            <w:tcW w:w="1128"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bCs/>
                <w:sz w:val="24"/>
                <w:szCs w:val="24"/>
              </w:rPr>
            </w:pPr>
            <w:r>
              <w:rPr>
                <w:rFonts w:hint="eastAsia" w:ascii="宋体" w:hAnsi="宋体" w:cs="宋体"/>
                <w:bCs/>
                <w:sz w:val="24"/>
                <w:szCs w:val="24"/>
              </w:rPr>
              <w:t>2</w:t>
            </w:r>
          </w:p>
        </w:tc>
        <w:tc>
          <w:tcPr>
            <w:tcW w:w="2112"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bCs/>
                <w:sz w:val="24"/>
                <w:szCs w:val="24"/>
              </w:rPr>
            </w:pPr>
            <w:r>
              <w:rPr>
                <w:rFonts w:hint="eastAsia" w:ascii="宋体" w:hAnsi="宋体" w:cs="宋体"/>
                <w:bCs/>
                <w:sz w:val="24"/>
                <w:szCs w:val="24"/>
              </w:rPr>
              <w:t>第二次报价</w:t>
            </w:r>
          </w:p>
        </w:tc>
        <w:tc>
          <w:tcPr>
            <w:tcW w:w="4507"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sz w:val="24"/>
                <w:szCs w:val="24"/>
              </w:rPr>
            </w:pPr>
            <w:r>
              <w:rPr>
                <w:rFonts w:hint="eastAsia" w:ascii="宋体" w:hAnsi="宋体" w:cs="宋体"/>
                <w:sz w:val="24"/>
                <w:szCs w:val="24"/>
              </w:rPr>
              <w:t>大写（人民币）：</w:t>
            </w:r>
          </w:p>
          <w:p>
            <w:pPr>
              <w:kinsoku w:val="0"/>
              <w:topLinePunct/>
              <w:snapToGrid w:val="0"/>
              <w:spacing w:line="520" w:lineRule="exact"/>
              <w:rPr>
                <w:rFonts w:ascii="宋体" w:hAnsi="宋体" w:cs="宋体"/>
                <w:sz w:val="24"/>
                <w:szCs w:val="24"/>
              </w:rPr>
            </w:pPr>
            <w:r>
              <w:rPr>
                <w:rFonts w:hint="eastAsia" w:ascii="宋体" w:hAnsi="宋体" w:cs="宋体"/>
                <w:sz w:val="24"/>
                <w:szCs w:val="24"/>
              </w:rPr>
              <w:t>小写（￥）：</w:t>
            </w:r>
          </w:p>
        </w:tc>
        <w:tc>
          <w:tcPr>
            <w:tcW w:w="2113" w:type="dxa"/>
            <w:tcBorders>
              <w:top w:val="single" w:color="auto" w:sz="4" w:space="0"/>
              <w:left w:val="single" w:color="auto" w:sz="4" w:space="0"/>
              <w:bottom w:val="single" w:color="auto" w:sz="4" w:space="0"/>
              <w:right w:val="single" w:color="auto" w:sz="4" w:space="0"/>
            </w:tcBorders>
            <w:vAlign w:val="center"/>
          </w:tcPr>
          <w:p>
            <w:pPr>
              <w:kinsoku w:val="0"/>
              <w:topLinePunct/>
              <w:snapToGrid w:val="0"/>
              <w:spacing w:line="520" w:lineRule="exact"/>
              <w:rPr>
                <w:rFonts w:ascii="宋体" w:hAnsi="宋体" w:cs="宋体"/>
                <w:sz w:val="24"/>
                <w:szCs w:val="24"/>
              </w:rPr>
            </w:pPr>
          </w:p>
        </w:tc>
      </w:tr>
    </w:tbl>
    <w:p>
      <w:pPr>
        <w:snapToGrid w:val="0"/>
        <w:spacing w:line="520" w:lineRule="exact"/>
        <w:jc w:val="right"/>
        <w:outlineLvl w:val="3"/>
        <w:rPr>
          <w:rFonts w:ascii="宋体" w:hAnsi="宋体" w:cs="宋体"/>
          <w:sz w:val="24"/>
          <w:szCs w:val="24"/>
        </w:rPr>
      </w:pPr>
      <w:r>
        <w:rPr>
          <w:rFonts w:hint="eastAsia" w:ascii="宋体" w:hAnsi="宋体" w:cs="宋体"/>
          <w:sz w:val="24"/>
          <w:szCs w:val="24"/>
        </w:rPr>
        <w:t xml:space="preserve"> 竞争性磋商响应单位：</w:t>
      </w:r>
      <w:r>
        <w:rPr>
          <w:rFonts w:hint="eastAsia" w:ascii="宋体" w:hAnsi="宋体" w:cs="宋体"/>
          <w:sz w:val="24"/>
          <w:szCs w:val="24"/>
          <w:u w:val="single"/>
        </w:rPr>
        <w:t xml:space="preserve">                    </w:t>
      </w:r>
      <w:r>
        <w:rPr>
          <w:rFonts w:hint="eastAsia" w:ascii="宋体" w:hAnsi="宋体" w:cs="宋体"/>
          <w:sz w:val="24"/>
          <w:szCs w:val="24"/>
        </w:rPr>
        <w:t>（加盖公章）</w:t>
      </w:r>
    </w:p>
    <w:p>
      <w:pPr>
        <w:snapToGrid w:val="0"/>
        <w:spacing w:line="520" w:lineRule="exact"/>
        <w:jc w:val="right"/>
        <w:outlineLvl w:val="3"/>
        <w:rPr>
          <w:rFonts w:ascii="宋体" w:hAnsi="宋体" w:cs="宋体"/>
          <w:sz w:val="24"/>
          <w:szCs w:val="24"/>
        </w:rPr>
      </w:pPr>
      <w:r>
        <w:rPr>
          <w:rFonts w:hint="eastAsia" w:ascii="宋体" w:hAnsi="宋体" w:cs="宋体"/>
          <w:sz w:val="24"/>
          <w:szCs w:val="24"/>
        </w:rPr>
        <w:t>法定代表人或被授权人：</w:t>
      </w:r>
      <w:r>
        <w:rPr>
          <w:rFonts w:hint="eastAsia" w:ascii="宋体" w:hAnsi="宋体" w:cs="宋体"/>
          <w:sz w:val="24"/>
          <w:szCs w:val="24"/>
          <w:u w:val="single"/>
        </w:rPr>
        <w:t xml:space="preserve">         </w:t>
      </w:r>
      <w:r>
        <w:rPr>
          <w:rFonts w:hint="eastAsia" w:ascii="宋体" w:hAnsi="宋体" w:cs="宋体"/>
          <w:sz w:val="24"/>
          <w:szCs w:val="24"/>
        </w:rPr>
        <w:t>（签字或盖章）</w:t>
      </w:r>
    </w:p>
    <w:p>
      <w:pPr>
        <w:kinsoku w:val="0"/>
        <w:topLinePunct/>
        <w:snapToGrid w:val="0"/>
        <w:spacing w:line="520" w:lineRule="exact"/>
        <w:ind w:firstLine="4320" w:firstLineChars="1800"/>
        <w:rPr>
          <w:rFonts w:ascii="宋体" w:hAnsi="宋体" w:cs="宋体"/>
          <w:sz w:val="24"/>
          <w:szCs w:val="24"/>
        </w:rPr>
      </w:pPr>
      <w:r>
        <w:rPr>
          <w:rFonts w:hint="eastAsia" w:ascii="宋体" w:hAnsi="宋体" w:cs="宋体"/>
          <w:sz w:val="24"/>
          <w:szCs w:val="24"/>
        </w:rPr>
        <w:t>日期：</w:t>
      </w:r>
    </w:p>
    <w:p>
      <w:pPr>
        <w:kinsoku w:val="0"/>
        <w:topLinePunct/>
        <w:snapToGrid w:val="0"/>
        <w:spacing w:line="520" w:lineRule="exact"/>
        <w:rPr>
          <w:rFonts w:ascii="宋体" w:hAnsi="宋体" w:cs="宋体"/>
          <w:b/>
          <w:sz w:val="24"/>
          <w:szCs w:val="24"/>
        </w:rPr>
      </w:pPr>
      <w:r>
        <w:rPr>
          <w:rFonts w:hint="eastAsia" w:ascii="宋体" w:hAnsi="宋体" w:cs="宋体"/>
          <w:b/>
          <w:sz w:val="24"/>
          <w:szCs w:val="24"/>
        </w:rPr>
        <w:t>注：</w:t>
      </w:r>
    </w:p>
    <w:p>
      <w:pPr>
        <w:numPr>
          <w:ilvl w:val="0"/>
          <w:numId w:val="2"/>
        </w:numPr>
        <w:kinsoku w:val="0"/>
        <w:topLinePunct/>
        <w:snapToGrid w:val="0"/>
        <w:spacing w:line="520" w:lineRule="exact"/>
        <w:rPr>
          <w:rFonts w:ascii="宋体" w:hAnsi="宋体" w:cs="宋体"/>
          <w:sz w:val="24"/>
          <w:szCs w:val="24"/>
        </w:rPr>
      </w:pPr>
      <w:r>
        <w:rPr>
          <w:rFonts w:hint="eastAsia" w:ascii="宋体" w:hAnsi="宋体" w:cs="宋体"/>
          <w:sz w:val="24"/>
          <w:szCs w:val="24"/>
        </w:rPr>
        <w:t>本表为格式表，不得自行改动，必须提供。</w:t>
      </w:r>
    </w:p>
    <w:p>
      <w:pPr>
        <w:snapToGrid w:val="0"/>
        <w:spacing w:line="480" w:lineRule="exact"/>
        <w:rPr>
          <w:rFonts w:ascii="宋体" w:hAnsi="宋体" w:cs="宋体"/>
          <w:sz w:val="24"/>
          <w:szCs w:val="24"/>
        </w:rPr>
      </w:pPr>
      <w:r>
        <w:rPr>
          <w:rFonts w:hint="eastAsia" w:ascii="宋体" w:hAnsi="宋体" w:cs="宋体"/>
          <w:sz w:val="24"/>
          <w:szCs w:val="24"/>
        </w:rPr>
        <w:t>（2）磋商报价（固定总价）中应包含：该项目需求中的所有需求的费用及招标代理服务费以及投标人企业利润、税金和政策性文件规定及合同包含的所有风险、责任，即组织赛事期间的所有费用。</w:t>
      </w:r>
    </w:p>
    <w:p>
      <w:pPr>
        <w:snapToGrid w:val="0"/>
        <w:spacing w:line="480" w:lineRule="exact"/>
        <w:rPr>
          <w:rFonts w:ascii="宋体" w:hAnsi="宋体" w:cs="宋体"/>
          <w:sz w:val="24"/>
          <w:szCs w:val="24"/>
        </w:rPr>
      </w:pPr>
      <w:r>
        <w:rPr>
          <w:rFonts w:hint="eastAsia" w:ascii="宋体" w:hAnsi="宋体" w:cs="宋体"/>
          <w:sz w:val="24"/>
          <w:szCs w:val="24"/>
        </w:rPr>
        <w:t>（3）第二次报价将在开标现场填写，磋商响应文件密封提交时只需填写首次磋商报价。</w:t>
      </w:r>
    </w:p>
    <w:p>
      <w:pPr>
        <w:kinsoku w:val="0"/>
        <w:topLinePunct/>
        <w:snapToGrid w:val="0"/>
        <w:spacing w:line="520" w:lineRule="exact"/>
        <w:rPr>
          <w:rFonts w:ascii="宋体" w:hAnsi="宋体" w:cs="宋体"/>
        </w:rPr>
      </w:pPr>
    </w:p>
    <w:p>
      <w:pPr>
        <w:kinsoku w:val="0"/>
        <w:topLinePunct/>
        <w:snapToGrid w:val="0"/>
        <w:spacing w:line="520" w:lineRule="exact"/>
        <w:rPr>
          <w:rFonts w:ascii="宋体" w:hAnsi="宋体" w:cs="宋体"/>
          <w:sz w:val="24"/>
          <w:szCs w:val="24"/>
        </w:rPr>
      </w:pPr>
    </w:p>
    <w:sectPr>
      <w:headerReference r:id="rId3" w:type="default"/>
      <w:footerReference r:id="rId4" w:type="default"/>
      <w:pgSz w:w="11850" w:h="16783"/>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9"/>
      </w:rPr>
    </w:pPr>
    <w:r>
      <w:fldChar w:fldCharType="begin"/>
    </w:r>
    <w:r>
      <w:rPr>
        <w:rStyle w:val="19"/>
      </w:rPr>
      <w:instrText xml:space="preserve">PAGE  </w:instrText>
    </w:r>
    <w:r>
      <w:fldChar w:fldCharType="separate"/>
    </w:r>
    <w:r>
      <w:rPr>
        <w:rStyle w:val="19"/>
      </w:rPr>
      <w:t>27</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5A0D7426"/>
    <w:multiLevelType w:val="singleLevel"/>
    <w:tmpl w:val="5A0D742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F72"/>
    <w:rsid w:val="000166B6"/>
    <w:rsid w:val="00017FD8"/>
    <w:rsid w:val="00025A99"/>
    <w:rsid w:val="00030DA8"/>
    <w:rsid w:val="00036009"/>
    <w:rsid w:val="00036EEA"/>
    <w:rsid w:val="0004290B"/>
    <w:rsid w:val="00043AC5"/>
    <w:rsid w:val="00044DBE"/>
    <w:rsid w:val="0005215C"/>
    <w:rsid w:val="0005441B"/>
    <w:rsid w:val="00055240"/>
    <w:rsid w:val="00055A45"/>
    <w:rsid w:val="0007085F"/>
    <w:rsid w:val="00081220"/>
    <w:rsid w:val="00085D89"/>
    <w:rsid w:val="00090447"/>
    <w:rsid w:val="00091EFF"/>
    <w:rsid w:val="00093884"/>
    <w:rsid w:val="000948F0"/>
    <w:rsid w:val="00094B1C"/>
    <w:rsid w:val="00097B99"/>
    <w:rsid w:val="000A0A46"/>
    <w:rsid w:val="000A1298"/>
    <w:rsid w:val="000A340B"/>
    <w:rsid w:val="000B1163"/>
    <w:rsid w:val="000B2930"/>
    <w:rsid w:val="000B5EAE"/>
    <w:rsid w:val="000C36F0"/>
    <w:rsid w:val="000C5659"/>
    <w:rsid w:val="000D23CA"/>
    <w:rsid w:val="000E0921"/>
    <w:rsid w:val="000E4DC9"/>
    <w:rsid w:val="000F0A08"/>
    <w:rsid w:val="000F1B53"/>
    <w:rsid w:val="000F7321"/>
    <w:rsid w:val="00102434"/>
    <w:rsid w:val="00102EAB"/>
    <w:rsid w:val="001059B2"/>
    <w:rsid w:val="0011120C"/>
    <w:rsid w:val="00113ACE"/>
    <w:rsid w:val="00113C04"/>
    <w:rsid w:val="00117380"/>
    <w:rsid w:val="00117F46"/>
    <w:rsid w:val="00130447"/>
    <w:rsid w:val="00131D11"/>
    <w:rsid w:val="001400FF"/>
    <w:rsid w:val="00140EFC"/>
    <w:rsid w:val="00150C7E"/>
    <w:rsid w:val="001551D7"/>
    <w:rsid w:val="0016062F"/>
    <w:rsid w:val="00161479"/>
    <w:rsid w:val="00161A25"/>
    <w:rsid w:val="001715EA"/>
    <w:rsid w:val="0017211A"/>
    <w:rsid w:val="00172A27"/>
    <w:rsid w:val="00177DBA"/>
    <w:rsid w:val="0018482C"/>
    <w:rsid w:val="001900BC"/>
    <w:rsid w:val="00192F55"/>
    <w:rsid w:val="001949FA"/>
    <w:rsid w:val="001A125D"/>
    <w:rsid w:val="001B06C8"/>
    <w:rsid w:val="001B278D"/>
    <w:rsid w:val="001C102B"/>
    <w:rsid w:val="001C1862"/>
    <w:rsid w:val="001C42A5"/>
    <w:rsid w:val="001D008D"/>
    <w:rsid w:val="001D4250"/>
    <w:rsid w:val="001E1862"/>
    <w:rsid w:val="001E3B85"/>
    <w:rsid w:val="001E7C30"/>
    <w:rsid w:val="001E7E35"/>
    <w:rsid w:val="001F4BCF"/>
    <w:rsid w:val="002009DC"/>
    <w:rsid w:val="002033B2"/>
    <w:rsid w:val="0020402B"/>
    <w:rsid w:val="00205E39"/>
    <w:rsid w:val="00211FD8"/>
    <w:rsid w:val="002309AC"/>
    <w:rsid w:val="002343CF"/>
    <w:rsid w:val="002349FC"/>
    <w:rsid w:val="00244D5C"/>
    <w:rsid w:val="00246D2A"/>
    <w:rsid w:val="00250ECD"/>
    <w:rsid w:val="00251CC5"/>
    <w:rsid w:val="00256AA5"/>
    <w:rsid w:val="0026244A"/>
    <w:rsid w:val="0026515A"/>
    <w:rsid w:val="0027245F"/>
    <w:rsid w:val="0027608C"/>
    <w:rsid w:val="0028429C"/>
    <w:rsid w:val="00287D32"/>
    <w:rsid w:val="002911D9"/>
    <w:rsid w:val="002A0845"/>
    <w:rsid w:val="002A30EA"/>
    <w:rsid w:val="002A5E07"/>
    <w:rsid w:val="002B3932"/>
    <w:rsid w:val="002B3D87"/>
    <w:rsid w:val="002B4E4D"/>
    <w:rsid w:val="002C2AD3"/>
    <w:rsid w:val="002C427E"/>
    <w:rsid w:val="002C72B7"/>
    <w:rsid w:val="002D00FA"/>
    <w:rsid w:val="002D258E"/>
    <w:rsid w:val="002D7CBB"/>
    <w:rsid w:val="002E03F8"/>
    <w:rsid w:val="002E22FC"/>
    <w:rsid w:val="002E3BB6"/>
    <w:rsid w:val="002E5D42"/>
    <w:rsid w:val="002E7B2E"/>
    <w:rsid w:val="002F1519"/>
    <w:rsid w:val="002F1D55"/>
    <w:rsid w:val="002F36AC"/>
    <w:rsid w:val="002F3F26"/>
    <w:rsid w:val="00305179"/>
    <w:rsid w:val="003057F8"/>
    <w:rsid w:val="003105D9"/>
    <w:rsid w:val="00324B5A"/>
    <w:rsid w:val="0033133D"/>
    <w:rsid w:val="003336C6"/>
    <w:rsid w:val="00335D00"/>
    <w:rsid w:val="00336F93"/>
    <w:rsid w:val="003375EB"/>
    <w:rsid w:val="00341D13"/>
    <w:rsid w:val="00343847"/>
    <w:rsid w:val="00347233"/>
    <w:rsid w:val="00347700"/>
    <w:rsid w:val="003477CE"/>
    <w:rsid w:val="00353452"/>
    <w:rsid w:val="003541F9"/>
    <w:rsid w:val="00370CE1"/>
    <w:rsid w:val="0037430A"/>
    <w:rsid w:val="00374C92"/>
    <w:rsid w:val="00375AB5"/>
    <w:rsid w:val="003802D0"/>
    <w:rsid w:val="00382229"/>
    <w:rsid w:val="00382688"/>
    <w:rsid w:val="00386F43"/>
    <w:rsid w:val="00390768"/>
    <w:rsid w:val="003A0173"/>
    <w:rsid w:val="003A3B64"/>
    <w:rsid w:val="003A4ED8"/>
    <w:rsid w:val="003A5CA9"/>
    <w:rsid w:val="003A71DA"/>
    <w:rsid w:val="003A7F0E"/>
    <w:rsid w:val="003B68D4"/>
    <w:rsid w:val="003B77B5"/>
    <w:rsid w:val="003C3486"/>
    <w:rsid w:val="003C54AD"/>
    <w:rsid w:val="003D20E9"/>
    <w:rsid w:val="003D2F37"/>
    <w:rsid w:val="003E2815"/>
    <w:rsid w:val="003E578F"/>
    <w:rsid w:val="003F2D13"/>
    <w:rsid w:val="003F7E8F"/>
    <w:rsid w:val="00400527"/>
    <w:rsid w:val="004007D5"/>
    <w:rsid w:val="00401030"/>
    <w:rsid w:val="00401BA6"/>
    <w:rsid w:val="004061F1"/>
    <w:rsid w:val="00407EB5"/>
    <w:rsid w:val="004211E9"/>
    <w:rsid w:val="00422DF4"/>
    <w:rsid w:val="004243A1"/>
    <w:rsid w:val="00424BEC"/>
    <w:rsid w:val="00426495"/>
    <w:rsid w:val="00443CAB"/>
    <w:rsid w:val="00445A94"/>
    <w:rsid w:val="004460AC"/>
    <w:rsid w:val="004465B8"/>
    <w:rsid w:val="00450F01"/>
    <w:rsid w:val="00451AA3"/>
    <w:rsid w:val="004539B8"/>
    <w:rsid w:val="00456F00"/>
    <w:rsid w:val="00464169"/>
    <w:rsid w:val="00466803"/>
    <w:rsid w:val="004668F3"/>
    <w:rsid w:val="00466E01"/>
    <w:rsid w:val="004710DE"/>
    <w:rsid w:val="00471929"/>
    <w:rsid w:val="00473582"/>
    <w:rsid w:val="0047417D"/>
    <w:rsid w:val="00476466"/>
    <w:rsid w:val="00480617"/>
    <w:rsid w:val="004821F7"/>
    <w:rsid w:val="004842D2"/>
    <w:rsid w:val="00484D23"/>
    <w:rsid w:val="00486A1C"/>
    <w:rsid w:val="00491E48"/>
    <w:rsid w:val="00492985"/>
    <w:rsid w:val="0049363C"/>
    <w:rsid w:val="004A0084"/>
    <w:rsid w:val="004A58A6"/>
    <w:rsid w:val="004A68D6"/>
    <w:rsid w:val="004A76C1"/>
    <w:rsid w:val="004B0461"/>
    <w:rsid w:val="004B0D8D"/>
    <w:rsid w:val="004B1E65"/>
    <w:rsid w:val="004C1264"/>
    <w:rsid w:val="004C1D04"/>
    <w:rsid w:val="004C3C2A"/>
    <w:rsid w:val="004C7C5C"/>
    <w:rsid w:val="004D54A8"/>
    <w:rsid w:val="004D6390"/>
    <w:rsid w:val="004D7782"/>
    <w:rsid w:val="004D7D62"/>
    <w:rsid w:val="004E17FB"/>
    <w:rsid w:val="004E7156"/>
    <w:rsid w:val="004F1BB0"/>
    <w:rsid w:val="004F1F1A"/>
    <w:rsid w:val="004F728F"/>
    <w:rsid w:val="0050136A"/>
    <w:rsid w:val="00502098"/>
    <w:rsid w:val="00514318"/>
    <w:rsid w:val="005155E4"/>
    <w:rsid w:val="005159F8"/>
    <w:rsid w:val="005360B9"/>
    <w:rsid w:val="00540E58"/>
    <w:rsid w:val="00543070"/>
    <w:rsid w:val="005439D8"/>
    <w:rsid w:val="00545C0B"/>
    <w:rsid w:val="00546D53"/>
    <w:rsid w:val="0056359D"/>
    <w:rsid w:val="005743F5"/>
    <w:rsid w:val="005757A4"/>
    <w:rsid w:val="0057584B"/>
    <w:rsid w:val="00576EF0"/>
    <w:rsid w:val="00580908"/>
    <w:rsid w:val="00581813"/>
    <w:rsid w:val="00593330"/>
    <w:rsid w:val="00593F64"/>
    <w:rsid w:val="005A4CC3"/>
    <w:rsid w:val="005B20A0"/>
    <w:rsid w:val="005B3394"/>
    <w:rsid w:val="005B3D11"/>
    <w:rsid w:val="005C1632"/>
    <w:rsid w:val="005C2F7A"/>
    <w:rsid w:val="005C3E4F"/>
    <w:rsid w:val="005D2094"/>
    <w:rsid w:val="005E1AED"/>
    <w:rsid w:val="005E1D4C"/>
    <w:rsid w:val="005E3380"/>
    <w:rsid w:val="005E341D"/>
    <w:rsid w:val="005F3861"/>
    <w:rsid w:val="00601E9D"/>
    <w:rsid w:val="0060533C"/>
    <w:rsid w:val="00607CCC"/>
    <w:rsid w:val="00607ECD"/>
    <w:rsid w:val="00613932"/>
    <w:rsid w:val="00615A55"/>
    <w:rsid w:val="00617648"/>
    <w:rsid w:val="00617E4D"/>
    <w:rsid w:val="00623B76"/>
    <w:rsid w:val="00625A64"/>
    <w:rsid w:val="00630E43"/>
    <w:rsid w:val="0063102F"/>
    <w:rsid w:val="006337B8"/>
    <w:rsid w:val="0063687D"/>
    <w:rsid w:val="006441D6"/>
    <w:rsid w:val="00646E60"/>
    <w:rsid w:val="00650ECD"/>
    <w:rsid w:val="0066647B"/>
    <w:rsid w:val="00666B70"/>
    <w:rsid w:val="00667482"/>
    <w:rsid w:val="00676ACB"/>
    <w:rsid w:val="00677B13"/>
    <w:rsid w:val="00677FCA"/>
    <w:rsid w:val="006803E3"/>
    <w:rsid w:val="00684C9E"/>
    <w:rsid w:val="00684E4A"/>
    <w:rsid w:val="006917A6"/>
    <w:rsid w:val="00692153"/>
    <w:rsid w:val="00696DC8"/>
    <w:rsid w:val="006A2421"/>
    <w:rsid w:val="006A40D6"/>
    <w:rsid w:val="006A4DBB"/>
    <w:rsid w:val="006A5232"/>
    <w:rsid w:val="006A6632"/>
    <w:rsid w:val="006B03F4"/>
    <w:rsid w:val="006B10B7"/>
    <w:rsid w:val="006B4E33"/>
    <w:rsid w:val="006C25D0"/>
    <w:rsid w:val="006C26BE"/>
    <w:rsid w:val="006C4185"/>
    <w:rsid w:val="006E1195"/>
    <w:rsid w:val="006E521A"/>
    <w:rsid w:val="006F3B42"/>
    <w:rsid w:val="006F3EBB"/>
    <w:rsid w:val="006F5E7A"/>
    <w:rsid w:val="006F6525"/>
    <w:rsid w:val="006F7A47"/>
    <w:rsid w:val="00703D20"/>
    <w:rsid w:val="00711EF4"/>
    <w:rsid w:val="007151F8"/>
    <w:rsid w:val="007177DF"/>
    <w:rsid w:val="00717F43"/>
    <w:rsid w:val="00720097"/>
    <w:rsid w:val="00720C81"/>
    <w:rsid w:val="00733168"/>
    <w:rsid w:val="00740193"/>
    <w:rsid w:val="00740293"/>
    <w:rsid w:val="007446C7"/>
    <w:rsid w:val="00752290"/>
    <w:rsid w:val="007538B8"/>
    <w:rsid w:val="00754F63"/>
    <w:rsid w:val="00760351"/>
    <w:rsid w:val="00765655"/>
    <w:rsid w:val="00765D55"/>
    <w:rsid w:val="0078556D"/>
    <w:rsid w:val="00787FDA"/>
    <w:rsid w:val="007916D1"/>
    <w:rsid w:val="007974C4"/>
    <w:rsid w:val="007A14CD"/>
    <w:rsid w:val="007A285F"/>
    <w:rsid w:val="007A3C7D"/>
    <w:rsid w:val="007A615D"/>
    <w:rsid w:val="007B2D61"/>
    <w:rsid w:val="007B494D"/>
    <w:rsid w:val="007B6009"/>
    <w:rsid w:val="007C034C"/>
    <w:rsid w:val="007D1423"/>
    <w:rsid w:val="007D5ACE"/>
    <w:rsid w:val="007F2039"/>
    <w:rsid w:val="007F31D1"/>
    <w:rsid w:val="00801FF9"/>
    <w:rsid w:val="0080235F"/>
    <w:rsid w:val="00807D6A"/>
    <w:rsid w:val="00807FB4"/>
    <w:rsid w:val="008101FA"/>
    <w:rsid w:val="008139CA"/>
    <w:rsid w:val="00820EC1"/>
    <w:rsid w:val="00821AD3"/>
    <w:rsid w:val="00841A9B"/>
    <w:rsid w:val="0084254F"/>
    <w:rsid w:val="008431D8"/>
    <w:rsid w:val="00843411"/>
    <w:rsid w:val="008613B2"/>
    <w:rsid w:val="0086181A"/>
    <w:rsid w:val="0086246F"/>
    <w:rsid w:val="008668DB"/>
    <w:rsid w:val="0086707B"/>
    <w:rsid w:val="00874E04"/>
    <w:rsid w:val="00877B20"/>
    <w:rsid w:val="008836D8"/>
    <w:rsid w:val="0088669D"/>
    <w:rsid w:val="00887962"/>
    <w:rsid w:val="00891E70"/>
    <w:rsid w:val="00896D22"/>
    <w:rsid w:val="00897F6E"/>
    <w:rsid w:val="008A29F9"/>
    <w:rsid w:val="008A35B6"/>
    <w:rsid w:val="008A491B"/>
    <w:rsid w:val="008A65D1"/>
    <w:rsid w:val="008B1F3A"/>
    <w:rsid w:val="008B32EE"/>
    <w:rsid w:val="008C1094"/>
    <w:rsid w:val="008C3310"/>
    <w:rsid w:val="008C4CE7"/>
    <w:rsid w:val="008D3434"/>
    <w:rsid w:val="008D60F5"/>
    <w:rsid w:val="008E1ED8"/>
    <w:rsid w:val="008E292C"/>
    <w:rsid w:val="008E2DD1"/>
    <w:rsid w:val="008E68A4"/>
    <w:rsid w:val="008F11DC"/>
    <w:rsid w:val="008F2299"/>
    <w:rsid w:val="008F309C"/>
    <w:rsid w:val="009045A8"/>
    <w:rsid w:val="009071E5"/>
    <w:rsid w:val="009100E7"/>
    <w:rsid w:val="009122CE"/>
    <w:rsid w:val="00917047"/>
    <w:rsid w:val="00917B6C"/>
    <w:rsid w:val="0092196A"/>
    <w:rsid w:val="00930400"/>
    <w:rsid w:val="00930637"/>
    <w:rsid w:val="00931C21"/>
    <w:rsid w:val="00944233"/>
    <w:rsid w:val="009474A5"/>
    <w:rsid w:val="00950288"/>
    <w:rsid w:val="00950A5D"/>
    <w:rsid w:val="00962629"/>
    <w:rsid w:val="00967EDC"/>
    <w:rsid w:val="00970B9A"/>
    <w:rsid w:val="00971BB0"/>
    <w:rsid w:val="00973599"/>
    <w:rsid w:val="00975EA6"/>
    <w:rsid w:val="009774A2"/>
    <w:rsid w:val="00981A8A"/>
    <w:rsid w:val="0098246A"/>
    <w:rsid w:val="009829D7"/>
    <w:rsid w:val="009840C2"/>
    <w:rsid w:val="0098574C"/>
    <w:rsid w:val="009863B0"/>
    <w:rsid w:val="00987707"/>
    <w:rsid w:val="009927AE"/>
    <w:rsid w:val="00992F44"/>
    <w:rsid w:val="009A2BD6"/>
    <w:rsid w:val="009B0077"/>
    <w:rsid w:val="009B23D1"/>
    <w:rsid w:val="009B2883"/>
    <w:rsid w:val="009B450C"/>
    <w:rsid w:val="009B6C6D"/>
    <w:rsid w:val="009B728B"/>
    <w:rsid w:val="009C6FA9"/>
    <w:rsid w:val="009D1FB1"/>
    <w:rsid w:val="009D63FA"/>
    <w:rsid w:val="009D66CF"/>
    <w:rsid w:val="009E780B"/>
    <w:rsid w:val="009F1021"/>
    <w:rsid w:val="009F1362"/>
    <w:rsid w:val="009F494B"/>
    <w:rsid w:val="009F535E"/>
    <w:rsid w:val="009F7155"/>
    <w:rsid w:val="00A01E21"/>
    <w:rsid w:val="00A03651"/>
    <w:rsid w:val="00A1185C"/>
    <w:rsid w:val="00A15259"/>
    <w:rsid w:val="00A23372"/>
    <w:rsid w:val="00A27AA3"/>
    <w:rsid w:val="00A369E2"/>
    <w:rsid w:val="00A41BBB"/>
    <w:rsid w:val="00A45EA5"/>
    <w:rsid w:val="00A513E9"/>
    <w:rsid w:val="00A514FC"/>
    <w:rsid w:val="00A52058"/>
    <w:rsid w:val="00A547CC"/>
    <w:rsid w:val="00A602F5"/>
    <w:rsid w:val="00A63EF0"/>
    <w:rsid w:val="00A71F32"/>
    <w:rsid w:val="00A72A6C"/>
    <w:rsid w:val="00A81AB5"/>
    <w:rsid w:val="00A83D14"/>
    <w:rsid w:val="00A8550F"/>
    <w:rsid w:val="00A868A7"/>
    <w:rsid w:val="00A86E42"/>
    <w:rsid w:val="00A8704E"/>
    <w:rsid w:val="00A90FF0"/>
    <w:rsid w:val="00A94528"/>
    <w:rsid w:val="00A95317"/>
    <w:rsid w:val="00AA08FE"/>
    <w:rsid w:val="00AA4B9F"/>
    <w:rsid w:val="00AB1873"/>
    <w:rsid w:val="00AB4019"/>
    <w:rsid w:val="00AB4ACE"/>
    <w:rsid w:val="00AC019A"/>
    <w:rsid w:val="00AC1ABF"/>
    <w:rsid w:val="00AC3F62"/>
    <w:rsid w:val="00AC641F"/>
    <w:rsid w:val="00AD4648"/>
    <w:rsid w:val="00AE01AE"/>
    <w:rsid w:val="00AE0A7E"/>
    <w:rsid w:val="00AE3FFC"/>
    <w:rsid w:val="00AE6058"/>
    <w:rsid w:val="00AF191D"/>
    <w:rsid w:val="00AF5F6A"/>
    <w:rsid w:val="00AF6CA8"/>
    <w:rsid w:val="00B00714"/>
    <w:rsid w:val="00B013D1"/>
    <w:rsid w:val="00B01A17"/>
    <w:rsid w:val="00B02F46"/>
    <w:rsid w:val="00B10F12"/>
    <w:rsid w:val="00B1169D"/>
    <w:rsid w:val="00B11C70"/>
    <w:rsid w:val="00B15BE6"/>
    <w:rsid w:val="00B232C1"/>
    <w:rsid w:val="00B3111F"/>
    <w:rsid w:val="00B35FB1"/>
    <w:rsid w:val="00B40B17"/>
    <w:rsid w:val="00B41E47"/>
    <w:rsid w:val="00B41E98"/>
    <w:rsid w:val="00B45AF6"/>
    <w:rsid w:val="00B50B09"/>
    <w:rsid w:val="00B53A0F"/>
    <w:rsid w:val="00B56400"/>
    <w:rsid w:val="00B65FD7"/>
    <w:rsid w:val="00B66A58"/>
    <w:rsid w:val="00B66F9A"/>
    <w:rsid w:val="00B7011A"/>
    <w:rsid w:val="00B72CCC"/>
    <w:rsid w:val="00B81F79"/>
    <w:rsid w:val="00B84C6F"/>
    <w:rsid w:val="00B93CEF"/>
    <w:rsid w:val="00BB150C"/>
    <w:rsid w:val="00BB5B21"/>
    <w:rsid w:val="00BC72CB"/>
    <w:rsid w:val="00BD2353"/>
    <w:rsid w:val="00BD4CA1"/>
    <w:rsid w:val="00BD5F27"/>
    <w:rsid w:val="00BD6734"/>
    <w:rsid w:val="00BD71AB"/>
    <w:rsid w:val="00BE4B74"/>
    <w:rsid w:val="00BE7EB0"/>
    <w:rsid w:val="00BF02D7"/>
    <w:rsid w:val="00BF508D"/>
    <w:rsid w:val="00C041F6"/>
    <w:rsid w:val="00C04934"/>
    <w:rsid w:val="00C04EB0"/>
    <w:rsid w:val="00C07FC9"/>
    <w:rsid w:val="00C13F2B"/>
    <w:rsid w:val="00C23D72"/>
    <w:rsid w:val="00C35C06"/>
    <w:rsid w:val="00C37587"/>
    <w:rsid w:val="00C43A32"/>
    <w:rsid w:val="00C4535A"/>
    <w:rsid w:val="00C511A7"/>
    <w:rsid w:val="00C52AD7"/>
    <w:rsid w:val="00C5356D"/>
    <w:rsid w:val="00C625CD"/>
    <w:rsid w:val="00C659BB"/>
    <w:rsid w:val="00C7697E"/>
    <w:rsid w:val="00C83A8E"/>
    <w:rsid w:val="00C8540C"/>
    <w:rsid w:val="00C93B9A"/>
    <w:rsid w:val="00C95DEE"/>
    <w:rsid w:val="00C973AC"/>
    <w:rsid w:val="00CB2CCB"/>
    <w:rsid w:val="00CC26B1"/>
    <w:rsid w:val="00CD1729"/>
    <w:rsid w:val="00CD2F81"/>
    <w:rsid w:val="00CE0264"/>
    <w:rsid w:val="00CE191C"/>
    <w:rsid w:val="00CE4CF2"/>
    <w:rsid w:val="00CE7F6D"/>
    <w:rsid w:val="00CF2EB7"/>
    <w:rsid w:val="00D04BFA"/>
    <w:rsid w:val="00D15C10"/>
    <w:rsid w:val="00D15CFD"/>
    <w:rsid w:val="00D30EA1"/>
    <w:rsid w:val="00D45E66"/>
    <w:rsid w:val="00D6404A"/>
    <w:rsid w:val="00D64069"/>
    <w:rsid w:val="00D662B0"/>
    <w:rsid w:val="00D669CD"/>
    <w:rsid w:val="00D70791"/>
    <w:rsid w:val="00D70C38"/>
    <w:rsid w:val="00D72E5D"/>
    <w:rsid w:val="00D7385F"/>
    <w:rsid w:val="00D73FCC"/>
    <w:rsid w:val="00D84ED6"/>
    <w:rsid w:val="00D85BE3"/>
    <w:rsid w:val="00D866E4"/>
    <w:rsid w:val="00D9045F"/>
    <w:rsid w:val="00D9268E"/>
    <w:rsid w:val="00D92F29"/>
    <w:rsid w:val="00D95DC9"/>
    <w:rsid w:val="00D9757B"/>
    <w:rsid w:val="00DB1540"/>
    <w:rsid w:val="00DB5E14"/>
    <w:rsid w:val="00DD5A6D"/>
    <w:rsid w:val="00DE25C9"/>
    <w:rsid w:val="00DE3F43"/>
    <w:rsid w:val="00DF5547"/>
    <w:rsid w:val="00DF6839"/>
    <w:rsid w:val="00E05866"/>
    <w:rsid w:val="00E06B70"/>
    <w:rsid w:val="00E1394D"/>
    <w:rsid w:val="00E153BF"/>
    <w:rsid w:val="00E16CA3"/>
    <w:rsid w:val="00E20200"/>
    <w:rsid w:val="00E22826"/>
    <w:rsid w:val="00E22E1F"/>
    <w:rsid w:val="00E23252"/>
    <w:rsid w:val="00E243DD"/>
    <w:rsid w:val="00E25B1F"/>
    <w:rsid w:val="00E26421"/>
    <w:rsid w:val="00E27FD9"/>
    <w:rsid w:val="00E34EB7"/>
    <w:rsid w:val="00E35C36"/>
    <w:rsid w:val="00E36C98"/>
    <w:rsid w:val="00E37462"/>
    <w:rsid w:val="00E47107"/>
    <w:rsid w:val="00E474FA"/>
    <w:rsid w:val="00E51503"/>
    <w:rsid w:val="00E51E34"/>
    <w:rsid w:val="00E52B73"/>
    <w:rsid w:val="00E54975"/>
    <w:rsid w:val="00E55B9D"/>
    <w:rsid w:val="00E663F6"/>
    <w:rsid w:val="00E71AF3"/>
    <w:rsid w:val="00E75F5E"/>
    <w:rsid w:val="00E823D4"/>
    <w:rsid w:val="00E8468A"/>
    <w:rsid w:val="00E876BE"/>
    <w:rsid w:val="00E9003B"/>
    <w:rsid w:val="00E92A81"/>
    <w:rsid w:val="00E93A99"/>
    <w:rsid w:val="00E93CBF"/>
    <w:rsid w:val="00E942A7"/>
    <w:rsid w:val="00E95A4D"/>
    <w:rsid w:val="00E96697"/>
    <w:rsid w:val="00E974F7"/>
    <w:rsid w:val="00EA39C7"/>
    <w:rsid w:val="00EB05A4"/>
    <w:rsid w:val="00EB1169"/>
    <w:rsid w:val="00EB12FA"/>
    <w:rsid w:val="00EB1FAA"/>
    <w:rsid w:val="00EB7919"/>
    <w:rsid w:val="00EC3A4F"/>
    <w:rsid w:val="00EC7700"/>
    <w:rsid w:val="00ED236C"/>
    <w:rsid w:val="00EE35C9"/>
    <w:rsid w:val="00EE71B8"/>
    <w:rsid w:val="00EF6E60"/>
    <w:rsid w:val="00F00191"/>
    <w:rsid w:val="00F01AF3"/>
    <w:rsid w:val="00F01D21"/>
    <w:rsid w:val="00F03BFB"/>
    <w:rsid w:val="00F043D8"/>
    <w:rsid w:val="00F2300D"/>
    <w:rsid w:val="00F2616E"/>
    <w:rsid w:val="00F31767"/>
    <w:rsid w:val="00F31A7A"/>
    <w:rsid w:val="00F3551A"/>
    <w:rsid w:val="00F41454"/>
    <w:rsid w:val="00F54DB3"/>
    <w:rsid w:val="00F67BE5"/>
    <w:rsid w:val="00F73B5E"/>
    <w:rsid w:val="00F74C4C"/>
    <w:rsid w:val="00F8028B"/>
    <w:rsid w:val="00F82F4F"/>
    <w:rsid w:val="00F836FA"/>
    <w:rsid w:val="00F83BAE"/>
    <w:rsid w:val="00F83F95"/>
    <w:rsid w:val="00F95FAA"/>
    <w:rsid w:val="00F97E44"/>
    <w:rsid w:val="00FA1649"/>
    <w:rsid w:val="00FA4FB9"/>
    <w:rsid w:val="00FB172D"/>
    <w:rsid w:val="00FB365D"/>
    <w:rsid w:val="00FB3D83"/>
    <w:rsid w:val="00FB4FA9"/>
    <w:rsid w:val="00FB5FCF"/>
    <w:rsid w:val="00FB6508"/>
    <w:rsid w:val="00FD0B50"/>
    <w:rsid w:val="00FE02F1"/>
    <w:rsid w:val="00FE1AB1"/>
    <w:rsid w:val="00FE4394"/>
    <w:rsid w:val="00FF18D8"/>
    <w:rsid w:val="00FF407C"/>
    <w:rsid w:val="00FF7065"/>
    <w:rsid w:val="010F589C"/>
    <w:rsid w:val="01CA4491"/>
    <w:rsid w:val="027A5110"/>
    <w:rsid w:val="02814708"/>
    <w:rsid w:val="037B46E6"/>
    <w:rsid w:val="0481301A"/>
    <w:rsid w:val="052A208A"/>
    <w:rsid w:val="053E64AD"/>
    <w:rsid w:val="06E83EDB"/>
    <w:rsid w:val="06FF107F"/>
    <w:rsid w:val="07526F5D"/>
    <w:rsid w:val="08FF2A9B"/>
    <w:rsid w:val="0A73204B"/>
    <w:rsid w:val="0ACA322B"/>
    <w:rsid w:val="0AF33C99"/>
    <w:rsid w:val="0B9F66E0"/>
    <w:rsid w:val="0C2A593D"/>
    <w:rsid w:val="0C9B71BE"/>
    <w:rsid w:val="0E287205"/>
    <w:rsid w:val="0E3D0680"/>
    <w:rsid w:val="0F0E702D"/>
    <w:rsid w:val="0FB56A0A"/>
    <w:rsid w:val="1011192A"/>
    <w:rsid w:val="107149CA"/>
    <w:rsid w:val="108B3A3D"/>
    <w:rsid w:val="10D845EC"/>
    <w:rsid w:val="115A75AE"/>
    <w:rsid w:val="11A20F9A"/>
    <w:rsid w:val="11D975B4"/>
    <w:rsid w:val="12CD54C5"/>
    <w:rsid w:val="12D746EB"/>
    <w:rsid w:val="13420C99"/>
    <w:rsid w:val="13953F0A"/>
    <w:rsid w:val="144C4D0E"/>
    <w:rsid w:val="146E7B30"/>
    <w:rsid w:val="15290DC2"/>
    <w:rsid w:val="17B92D93"/>
    <w:rsid w:val="17FE7EC3"/>
    <w:rsid w:val="18E979DE"/>
    <w:rsid w:val="1ADB7038"/>
    <w:rsid w:val="1B50206C"/>
    <w:rsid w:val="1B857B57"/>
    <w:rsid w:val="1D6F60DF"/>
    <w:rsid w:val="1DF57226"/>
    <w:rsid w:val="1EAA4F8C"/>
    <w:rsid w:val="1F8D7B1B"/>
    <w:rsid w:val="1FC216C1"/>
    <w:rsid w:val="231C2DF2"/>
    <w:rsid w:val="23B35297"/>
    <w:rsid w:val="2438569A"/>
    <w:rsid w:val="245A2A47"/>
    <w:rsid w:val="246C3CC9"/>
    <w:rsid w:val="25067F04"/>
    <w:rsid w:val="25F06FE2"/>
    <w:rsid w:val="267128FB"/>
    <w:rsid w:val="2842631F"/>
    <w:rsid w:val="28774D96"/>
    <w:rsid w:val="28A5531F"/>
    <w:rsid w:val="28D370D8"/>
    <w:rsid w:val="29AC53EE"/>
    <w:rsid w:val="2A045543"/>
    <w:rsid w:val="2A1C64BB"/>
    <w:rsid w:val="2AE56291"/>
    <w:rsid w:val="2AE7592A"/>
    <w:rsid w:val="2B2814FA"/>
    <w:rsid w:val="2BD420D6"/>
    <w:rsid w:val="2C882DDE"/>
    <w:rsid w:val="2D043AA6"/>
    <w:rsid w:val="2D43129C"/>
    <w:rsid w:val="2D831A06"/>
    <w:rsid w:val="2E686DE0"/>
    <w:rsid w:val="2FD84031"/>
    <w:rsid w:val="30212EB2"/>
    <w:rsid w:val="31A1489C"/>
    <w:rsid w:val="325E31C8"/>
    <w:rsid w:val="32B931D3"/>
    <w:rsid w:val="32D5042D"/>
    <w:rsid w:val="332C4855"/>
    <w:rsid w:val="36590287"/>
    <w:rsid w:val="3661749E"/>
    <w:rsid w:val="36CB602C"/>
    <w:rsid w:val="372D5237"/>
    <w:rsid w:val="37936DA6"/>
    <w:rsid w:val="37C84572"/>
    <w:rsid w:val="387E6382"/>
    <w:rsid w:val="38834DE9"/>
    <w:rsid w:val="39E57089"/>
    <w:rsid w:val="39EA4A27"/>
    <w:rsid w:val="3AC0024A"/>
    <w:rsid w:val="3BF74889"/>
    <w:rsid w:val="3D05451F"/>
    <w:rsid w:val="3D231E8A"/>
    <w:rsid w:val="3D6E0931"/>
    <w:rsid w:val="3DF13E2B"/>
    <w:rsid w:val="3E4A290A"/>
    <w:rsid w:val="3EB6730E"/>
    <w:rsid w:val="3F2F518A"/>
    <w:rsid w:val="400E76F1"/>
    <w:rsid w:val="40E95BCB"/>
    <w:rsid w:val="410E24A9"/>
    <w:rsid w:val="41CE1B56"/>
    <w:rsid w:val="41D521B5"/>
    <w:rsid w:val="43787F9E"/>
    <w:rsid w:val="445F1BE2"/>
    <w:rsid w:val="44814ED2"/>
    <w:rsid w:val="449965CB"/>
    <w:rsid w:val="44C734FA"/>
    <w:rsid w:val="45105DC0"/>
    <w:rsid w:val="45BC5429"/>
    <w:rsid w:val="46870A16"/>
    <w:rsid w:val="46B3766F"/>
    <w:rsid w:val="471F7E3B"/>
    <w:rsid w:val="477F7D75"/>
    <w:rsid w:val="47BF152F"/>
    <w:rsid w:val="47F6247F"/>
    <w:rsid w:val="4933053F"/>
    <w:rsid w:val="495C4CF8"/>
    <w:rsid w:val="496A73DA"/>
    <w:rsid w:val="4A7265E5"/>
    <w:rsid w:val="4CB44857"/>
    <w:rsid w:val="4CFF52D7"/>
    <w:rsid w:val="4E517AD8"/>
    <w:rsid w:val="4E702A20"/>
    <w:rsid w:val="4F272254"/>
    <w:rsid w:val="4F472054"/>
    <w:rsid w:val="505029E8"/>
    <w:rsid w:val="52186845"/>
    <w:rsid w:val="53BC4639"/>
    <w:rsid w:val="54184B65"/>
    <w:rsid w:val="54E31DD9"/>
    <w:rsid w:val="553270F5"/>
    <w:rsid w:val="555C0D43"/>
    <w:rsid w:val="56424E79"/>
    <w:rsid w:val="56FB01DB"/>
    <w:rsid w:val="579D1400"/>
    <w:rsid w:val="58667FE6"/>
    <w:rsid w:val="59C453FF"/>
    <w:rsid w:val="5A0239C3"/>
    <w:rsid w:val="5A54118A"/>
    <w:rsid w:val="5A684F60"/>
    <w:rsid w:val="5B0C00DC"/>
    <w:rsid w:val="5B2B5B6E"/>
    <w:rsid w:val="5B962DF5"/>
    <w:rsid w:val="5C5614D9"/>
    <w:rsid w:val="5CF93C6F"/>
    <w:rsid w:val="5D7550C9"/>
    <w:rsid w:val="5DA261F4"/>
    <w:rsid w:val="5E021ADF"/>
    <w:rsid w:val="5EC83F34"/>
    <w:rsid w:val="5F0C324D"/>
    <w:rsid w:val="60701042"/>
    <w:rsid w:val="60916BE4"/>
    <w:rsid w:val="60D32348"/>
    <w:rsid w:val="60D41911"/>
    <w:rsid w:val="615E3BD6"/>
    <w:rsid w:val="61980CE2"/>
    <w:rsid w:val="6309668A"/>
    <w:rsid w:val="63232AEB"/>
    <w:rsid w:val="6360794F"/>
    <w:rsid w:val="63EC4F30"/>
    <w:rsid w:val="64062CAE"/>
    <w:rsid w:val="6526176E"/>
    <w:rsid w:val="65F71A4E"/>
    <w:rsid w:val="66763235"/>
    <w:rsid w:val="669769CB"/>
    <w:rsid w:val="67B20106"/>
    <w:rsid w:val="6989172E"/>
    <w:rsid w:val="6AA705DD"/>
    <w:rsid w:val="6AB64E3E"/>
    <w:rsid w:val="6BD66662"/>
    <w:rsid w:val="6C9E7C1D"/>
    <w:rsid w:val="6CFA66CD"/>
    <w:rsid w:val="6DDF355E"/>
    <w:rsid w:val="6DED7E83"/>
    <w:rsid w:val="6F8B5FEC"/>
    <w:rsid w:val="6FFA140A"/>
    <w:rsid w:val="7071001F"/>
    <w:rsid w:val="713D03D9"/>
    <w:rsid w:val="717161A4"/>
    <w:rsid w:val="719A4052"/>
    <w:rsid w:val="72116193"/>
    <w:rsid w:val="739704F9"/>
    <w:rsid w:val="7446460E"/>
    <w:rsid w:val="74992E2F"/>
    <w:rsid w:val="750520C4"/>
    <w:rsid w:val="7546010E"/>
    <w:rsid w:val="76826429"/>
    <w:rsid w:val="777172F3"/>
    <w:rsid w:val="77845925"/>
    <w:rsid w:val="77CE17C2"/>
    <w:rsid w:val="782A762F"/>
    <w:rsid w:val="786F66E7"/>
    <w:rsid w:val="796D3A4A"/>
    <w:rsid w:val="799130BA"/>
    <w:rsid w:val="7B741572"/>
    <w:rsid w:val="7C672F1D"/>
    <w:rsid w:val="7CDD7929"/>
    <w:rsid w:val="7E786CD2"/>
    <w:rsid w:val="7F3D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27"/>
    <w:qFormat/>
    <w:uiPriority w:val="0"/>
    <w:pPr>
      <w:keepNext/>
      <w:keepLines/>
      <w:spacing w:before="340" w:after="330" w:line="578" w:lineRule="auto"/>
      <w:outlineLvl w:val="0"/>
    </w:pPr>
    <w:rPr>
      <w:rFonts w:eastAsia="楷体_GB2312"/>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8">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33"/>
    <w:qFormat/>
    <w:uiPriority w:val="0"/>
    <w:pPr>
      <w:adjustRightInd w:val="0"/>
      <w:ind w:firstLine="420"/>
      <w:jc w:val="left"/>
      <w:textAlignment w:val="baseline"/>
    </w:pPr>
    <w:rPr>
      <w:rFonts w:eastAsia="楷体_GB2312"/>
      <w:kern w:val="0"/>
      <w:sz w:val="24"/>
    </w:rPr>
  </w:style>
  <w:style w:type="paragraph" w:styleId="7">
    <w:name w:val="Body Text"/>
    <w:basedOn w:val="1"/>
    <w:qFormat/>
    <w:uiPriority w:val="0"/>
    <w:pPr>
      <w:spacing w:line="360" w:lineRule="auto"/>
    </w:pPr>
    <w:rPr>
      <w:rFonts w:ascii="Times New Roman" w:hAnsi="Times New Roman" w:eastAsia="仿宋_GB2312"/>
      <w:sz w:val="23"/>
    </w:rPr>
  </w:style>
  <w:style w:type="paragraph" w:styleId="8">
    <w:name w:val="Body Text Indent"/>
    <w:basedOn w:val="1"/>
    <w:qFormat/>
    <w:uiPriority w:val="0"/>
    <w:pPr>
      <w:spacing w:after="120"/>
      <w:ind w:left="420" w:leftChars="200"/>
    </w:pPr>
    <w:rPr>
      <w:rFonts w:ascii="Times New Roman" w:hAnsi="Times New Roman"/>
      <w:szCs w:val="24"/>
    </w:rPr>
  </w:style>
  <w:style w:type="paragraph" w:styleId="9">
    <w:name w:val="toc 3"/>
    <w:basedOn w:val="1"/>
    <w:next w:val="1"/>
    <w:qFormat/>
    <w:uiPriority w:val="0"/>
    <w:pPr>
      <w:ind w:left="840" w:leftChars="400"/>
    </w:pPr>
    <w:rPr>
      <w:rFonts w:ascii="Times New Roman" w:hAnsi="Times New Roman"/>
    </w:rPr>
  </w:style>
  <w:style w:type="paragraph" w:styleId="10">
    <w:name w:val="Plain Text"/>
    <w:basedOn w:val="1"/>
    <w:uiPriority w:val="0"/>
    <w:rPr>
      <w:rFonts w:ascii="宋体" w:hAnsi="Courier New" w:cs="Courier New"/>
      <w:szCs w:val="21"/>
    </w:rPr>
  </w:style>
  <w:style w:type="paragraph" w:styleId="11">
    <w:name w:val="Date"/>
    <w:basedOn w:val="1"/>
    <w:next w:val="1"/>
    <w:link w:val="34"/>
    <w:qFormat/>
    <w:uiPriority w:val="0"/>
    <w:pPr>
      <w:ind w:left="100" w:leftChars="2500"/>
    </w:pPr>
    <w:rPr>
      <w:kern w:val="0"/>
      <w:sz w:val="20"/>
      <w:szCs w:val="24"/>
    </w:rPr>
  </w:style>
  <w:style w:type="paragraph" w:styleId="12">
    <w:name w:val="Balloon Text"/>
    <w:basedOn w:val="1"/>
    <w:link w:val="29"/>
    <w:qFormat/>
    <w:uiPriority w:val="0"/>
    <w:rPr>
      <w:kern w:val="0"/>
      <w:sz w:val="18"/>
      <w:szCs w:val="18"/>
    </w:rPr>
  </w:style>
  <w:style w:type="paragraph" w:styleId="13">
    <w:name w:val="footer"/>
    <w:basedOn w:val="1"/>
    <w:link w:val="28"/>
    <w:qFormat/>
    <w:uiPriority w:val="0"/>
    <w:pPr>
      <w:tabs>
        <w:tab w:val="center" w:pos="4153"/>
        <w:tab w:val="right" w:pos="8306"/>
      </w:tabs>
      <w:snapToGrid w:val="0"/>
      <w:jc w:val="left"/>
    </w:pPr>
    <w:rPr>
      <w:kern w:val="0"/>
      <w:sz w:val="18"/>
      <w:szCs w:val="18"/>
    </w:rPr>
  </w:style>
  <w:style w:type="paragraph" w:styleId="14">
    <w:name w:val="Body Text First Indent 2"/>
    <w:basedOn w:val="8"/>
    <w:qFormat/>
    <w:uiPriority w:val="0"/>
    <w:pPr>
      <w:ind w:firstLine="200" w:firstLineChars="200"/>
    </w:p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qFormat/>
    <w:uiPriority w:val="0"/>
    <w:pPr>
      <w:adjustRightInd w:val="0"/>
      <w:jc w:val="left"/>
      <w:textAlignment w:val="baseline"/>
    </w:pPr>
    <w:rPr>
      <w:rFonts w:ascii="Times New Roman" w:hAnsi="Times New Roman" w:eastAsia="楷体_GB2312"/>
      <w:sz w:val="24"/>
    </w:rPr>
  </w:style>
  <w:style w:type="paragraph" w:styleId="17">
    <w:name w:val="Normal (Web)"/>
    <w:basedOn w:val="1"/>
    <w:uiPriority w:val="0"/>
    <w:pPr>
      <w:spacing w:before="100" w:beforeAutospacing="1" w:after="100" w:afterAutospacing="1"/>
      <w:jc w:val="left"/>
    </w:pPr>
    <w:rPr>
      <w:rFonts w:ascii="Times New Roman" w:hAnsi="Times New Roman"/>
      <w:kern w:val="0"/>
      <w:sz w:val="24"/>
    </w:rPr>
  </w:style>
  <w:style w:type="character" w:styleId="19">
    <w:name w:val="page number"/>
    <w:qFormat/>
    <w:uiPriority w:val="0"/>
    <w:rPr>
      <w:rFonts w:ascii="Times New Roman" w:hAnsi="Times New Roman" w:eastAsia="宋体" w:cs="Times New Roman"/>
    </w:rPr>
  </w:style>
  <w:style w:type="character" w:styleId="20">
    <w:name w:val="FollowedHyperlink"/>
    <w:qFormat/>
    <w:uiPriority w:val="0"/>
    <w:rPr>
      <w:rFonts w:ascii="Times New Roman" w:hAnsi="Times New Roman" w:eastAsia="宋体" w:cs="Times New Roman"/>
      <w:color w:val="000000"/>
      <w:sz w:val="18"/>
      <w:szCs w:val="18"/>
      <w:u w:val="none"/>
    </w:rPr>
  </w:style>
  <w:style w:type="character" w:styleId="21">
    <w:name w:val="Hyperlink"/>
    <w:qFormat/>
    <w:uiPriority w:val="0"/>
    <w:rPr>
      <w:rFonts w:ascii="Times New Roman" w:hAnsi="Times New Roman" w:eastAsia="宋体" w:cs="Times New Roman"/>
      <w:color w:val="333333"/>
      <w:u w:val="none"/>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4">
    <w:name w:val="日期 Char1"/>
    <w:qFormat/>
    <w:uiPriority w:val="0"/>
    <w:rPr>
      <w:rFonts w:ascii="Times New Roman" w:hAnsi="Times New Roman" w:eastAsia="宋体" w:cs="Times New Roman"/>
      <w:szCs w:val="20"/>
    </w:rPr>
  </w:style>
  <w:style w:type="character" w:customStyle="1" w:styleId="25">
    <w:name w:val="r-text"/>
    <w:basedOn w:val="18"/>
    <w:qFormat/>
    <w:uiPriority w:val="0"/>
    <w:rPr>
      <w:color w:val="00349B"/>
    </w:rPr>
  </w:style>
  <w:style w:type="character" w:customStyle="1" w:styleId="26">
    <w:name w:val="页脚 Char1"/>
    <w:qFormat/>
    <w:uiPriority w:val="0"/>
    <w:rPr>
      <w:rFonts w:ascii="Times New Roman" w:hAnsi="Times New Roman" w:eastAsia="宋体" w:cs="Times New Roman"/>
      <w:sz w:val="18"/>
      <w:szCs w:val="18"/>
    </w:rPr>
  </w:style>
  <w:style w:type="character" w:customStyle="1" w:styleId="27">
    <w:name w:val="标题 1 Char"/>
    <w:link w:val="2"/>
    <w:qFormat/>
    <w:uiPriority w:val="0"/>
    <w:rPr>
      <w:rFonts w:ascii="Times New Roman" w:hAnsi="Times New Roman" w:eastAsia="楷体_GB2312" w:cs="Times New Roman"/>
      <w:b/>
      <w:kern w:val="44"/>
      <w:sz w:val="44"/>
      <w:szCs w:val="20"/>
    </w:rPr>
  </w:style>
  <w:style w:type="character" w:customStyle="1" w:styleId="28">
    <w:name w:val="页脚 Char"/>
    <w:link w:val="13"/>
    <w:qFormat/>
    <w:uiPriority w:val="0"/>
    <w:rPr>
      <w:rFonts w:ascii="Times New Roman" w:hAnsi="Times New Roman" w:eastAsia="宋体" w:cs="Times New Roman"/>
      <w:sz w:val="18"/>
      <w:szCs w:val="18"/>
    </w:rPr>
  </w:style>
  <w:style w:type="character" w:customStyle="1" w:styleId="29">
    <w:name w:val="批注框文本 Char"/>
    <w:link w:val="12"/>
    <w:qFormat/>
    <w:uiPriority w:val="0"/>
    <w:rPr>
      <w:rFonts w:ascii="Times New Roman" w:hAnsi="Times New Roman" w:eastAsia="宋体" w:cs="Times New Roman"/>
      <w:sz w:val="18"/>
      <w:szCs w:val="18"/>
    </w:rPr>
  </w:style>
  <w:style w:type="character" w:customStyle="1" w:styleId="30">
    <w:name w:val="页眉 Char"/>
    <w:link w:val="15"/>
    <w:qFormat/>
    <w:uiPriority w:val="0"/>
    <w:rPr>
      <w:rFonts w:ascii="Times New Roman" w:hAnsi="Times New Roman" w:eastAsia="宋体" w:cs="Times New Roman"/>
      <w:sz w:val="18"/>
      <w:szCs w:val="18"/>
    </w:rPr>
  </w:style>
  <w:style w:type="character" w:customStyle="1" w:styleId="31">
    <w:name w:val="页眉 Char1"/>
    <w:qFormat/>
    <w:uiPriority w:val="0"/>
    <w:rPr>
      <w:rFonts w:ascii="Times New Roman" w:hAnsi="Times New Roman" w:eastAsia="宋体" w:cs="Times New Roman"/>
      <w:sz w:val="18"/>
      <w:szCs w:val="18"/>
    </w:rPr>
  </w:style>
  <w:style w:type="character" w:customStyle="1" w:styleId="32">
    <w:name w:val="r-time"/>
    <w:basedOn w:val="18"/>
    <w:qFormat/>
    <w:uiPriority w:val="0"/>
    <w:rPr>
      <w:color w:val="B30000"/>
    </w:rPr>
  </w:style>
  <w:style w:type="character" w:customStyle="1" w:styleId="33">
    <w:name w:val="正文缩进 Char"/>
    <w:link w:val="6"/>
    <w:qFormat/>
    <w:uiPriority w:val="0"/>
    <w:rPr>
      <w:rFonts w:ascii="Times New Roman" w:hAnsi="Times New Roman" w:eastAsia="楷体_GB2312" w:cs="Times New Roman"/>
      <w:sz w:val="24"/>
    </w:rPr>
  </w:style>
  <w:style w:type="character" w:customStyle="1" w:styleId="34">
    <w:name w:val="日期 Char"/>
    <w:link w:val="11"/>
    <w:qFormat/>
    <w:uiPriority w:val="0"/>
    <w:rPr>
      <w:rFonts w:ascii="Times New Roman" w:hAnsi="Times New Roman" w:eastAsia="宋体" w:cs="Times New Roman"/>
      <w:szCs w:val="24"/>
    </w:rPr>
  </w:style>
  <w:style w:type="character" w:customStyle="1" w:styleId="35">
    <w:name w:val="Variable"/>
    <w:qFormat/>
    <w:uiPriority w:val="0"/>
    <w:rPr>
      <w:rFonts w:ascii="Times New Roman" w:hAnsi="Times New Roman" w:eastAsia="宋体" w:cs="Times New Roman"/>
      <w:i/>
    </w:rPr>
  </w:style>
  <w:style w:type="paragraph" w:customStyle="1" w:styleId="36">
    <w:name w:val="Address"/>
    <w:basedOn w:val="1"/>
    <w:next w:val="1"/>
    <w:qFormat/>
    <w:uiPriority w:val="0"/>
    <w:pPr>
      <w:autoSpaceDE w:val="0"/>
      <w:autoSpaceDN w:val="0"/>
      <w:adjustRightInd w:val="0"/>
      <w:jc w:val="left"/>
    </w:pPr>
    <w:rPr>
      <w:rFonts w:ascii="Times New Roman" w:hAnsi="Times New Roman"/>
      <w:i/>
      <w:kern w:val="0"/>
      <w:sz w:val="24"/>
    </w:rPr>
  </w:style>
  <w:style w:type="paragraph" w:customStyle="1" w:styleId="37">
    <w:name w:val="flType"/>
    <w:basedOn w:val="1"/>
    <w:qFormat/>
    <w:uiPriority w:val="0"/>
    <w:pPr>
      <w:adjustRightInd w:val="0"/>
      <w:spacing w:after="284" w:line="113" w:lineRule="atLeast"/>
      <w:jc w:val="center"/>
    </w:pPr>
    <w:rPr>
      <w:rFonts w:ascii="Times New Roman" w:hAnsi="Times New Roman"/>
      <w:kern w:val="0"/>
      <w:sz w:val="24"/>
    </w:rPr>
  </w:style>
  <w:style w:type="paragraph" w:customStyle="1" w:styleId="38">
    <w:name w:val="Table Paragraph"/>
    <w:basedOn w:val="1"/>
    <w:qFormat/>
    <w:uiPriority w:val="0"/>
    <w:pPr>
      <w:jc w:val="left"/>
    </w:pPr>
    <w:rPr>
      <w:rFonts w:cs="Calibri"/>
      <w:kern w:val="0"/>
      <w:sz w:val="22"/>
      <w:szCs w:val="22"/>
      <w:lang w:eastAsia="en-US"/>
    </w:rPr>
  </w:style>
  <w:style w:type="paragraph" w:customStyle="1" w:styleId="39">
    <w:name w:val="Heading 41"/>
    <w:basedOn w:val="1"/>
    <w:qFormat/>
    <w:uiPriority w:val="0"/>
    <w:pPr>
      <w:jc w:val="left"/>
      <w:outlineLvl w:val="4"/>
    </w:pPr>
    <w:rPr>
      <w:rFonts w:ascii="宋体" w:hAnsi="宋体" w:cs="宋体"/>
      <w:kern w:val="0"/>
      <w:sz w:val="32"/>
      <w:szCs w:val="32"/>
      <w:lang w:eastAsia="en-US"/>
    </w:rPr>
  </w:style>
  <w:style w:type="paragraph" w:customStyle="1" w:styleId="40">
    <w:name w:val="_Style 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1">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Heading 71"/>
    <w:basedOn w:val="1"/>
    <w:qFormat/>
    <w:uiPriority w:val="0"/>
    <w:pPr>
      <w:jc w:val="left"/>
      <w:outlineLvl w:val="7"/>
    </w:pPr>
    <w:rPr>
      <w:rFonts w:ascii="宋体" w:hAnsi="宋体" w:cs="宋体"/>
      <w:kern w:val="0"/>
      <w:sz w:val="28"/>
      <w:szCs w:val="2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27</Pages>
  <Words>2107</Words>
  <Characters>12012</Characters>
  <Lines>100</Lines>
  <Paragraphs>28</Paragraphs>
  <TotalTime>2</TotalTime>
  <ScaleCrop>false</ScaleCrop>
  <LinksUpToDate>false</LinksUpToDate>
  <CharactersWithSpaces>14091</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2019-10-10T06:32:00Z</dcterms:created>
  <dc:creator>何花</dc:creator>
  <cp:lastModifiedBy>绮罗生</cp:lastModifiedBy>
  <cp:lastPrinted>2018-07-15T09:18:00Z</cp:lastPrinted>
  <dcterms:modified xsi:type="dcterms:W3CDTF">2019-10-11T07:00:31Z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