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南通市儿童业余体育学校</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1.培养输送体育后备人才，提供全民健身公共服务，促进体育事业发展。</w:t>
      </w:r>
      <w:r>
        <w:rPr>
          <w:rFonts w:ascii="仿宋" w:hAnsi="仿宋" w:cs="仿宋" w:eastAsia="仿宋"/>
        </w:rPr>
        <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2.承担游泳、体操、乒乓等六个项目的儿童业余训练；开展群众体育和青少年体育俱乐部活动；组织开展各类体育竞赛和社会体育培训。</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训练科、综合科、游泳池管理科。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2023年，市儿体校工作紧紧围绕全市体育工作会议精神，明确目标，强化管理，科学部署，统筹协调。按照体育局总体部署，对照市体育局年度重点工作安排和学校年度工作计划，较好完成全年各项工作任务。</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市儿体校认真履行全面从严治党责任，深入开展学习贯彻习近平新时代中国特色社会主义思想主题教育，切实加强体育后备人才培养输送，全年共输送省体校13名运动员，预计将有4人进入省优秀运动队，2023年省级锦标赛总成绩34金24银25铜，共83枚奖牌。2023年，市儿体校各项工作扎实稳步推进，全年工作安全无事故。</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（一）以党建工作为主线，落实全面从严治党责任</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市儿体校认真贯彻落实全面从严治党要求，把党风廉政建设贯穿于全年工作中，重点做好六个方面工作，扎实推进我校党风廉政建设工作。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强化理论武装，提升党员干部政治素质。2023年，市儿体校高度重视思想学习教育，特别是将开展主题教育作为首要政治任务来抓，统筹做好党员干部职工集中学习、个人自学和全员齐学，多举并措营造浓厚学习氛围，全面提升党员干部政治素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加强组织建设，严格落实组织生活制度。2023年，市儿体校党支部先后召开党员大会7次、支委会多次、组织生活会1次、民主评议党员1次、民主生活会1次、党课教学5次。同时认真做好党员发展培养和支部换届选举工作。严格组织程序和规定，切实保证组织生活质量。</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3．加强全面从严治党，履行党建工作责任。2023年，市儿体校认真履行主体责任和监督责任，对照两个责任清单，坚持定期专题研究党建工作并召开支委会，完成党建责任制要求。</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强化廉洁自律，正风肃纪推进党建工作。2023年，市儿体校高度重视党风廉政建设工作的落实。通过廉政党课、观看警示教育片、实地参观践学等形式，引导全体党员干部职工明底线、知敬畏、存戒惧，自觉做到廉洁从政，强化体育工作使命担当。</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认真做好党建共建，深化党建品牌内涵。市儿体校党支部立足“先锋支部”新起点，以主题教育活动为抓手，以“优化体育人才培养、促进事业高质量发展”为中心，结合学校异地新建项目建设，认真做好党建共建、“党建联盟”，推动党建工作和业务工作深度融合。</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6．抓好意识形态学习教育和责任制的落实。2023年，党支部把意识形态工作列为重点，强化班子成员“一岗双责”，推进意识形态各项工作落到实处。</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（二）以后备人才培养为中心，落实业训备战目标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是备战江苏省第二十一届运动会周期工作的开局之年，市儿体校业训工作的重点是在高质量党建的引领保障之下，选优苗，组梯队，打基础，提高备战核心竞争力，完善训练管理，加强教练员和运动员队伍建设。</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加强教练员队伍建设。对各运动项目教练员队伍进行重组和微调，实行项目负责人制，在运动项目负责人对项目队伍负总责的基础上，把运动队各年龄组的训练竞赛任务责任到人。明确各教练员岗位职责，对省级竞赛运动项目设置精减部分，学校统筹安排，适时调整。</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加强运动员队伍建设。根据运动项目设置及届运会竞赛规程和培养体育后备人才的规律，制定周期工作目标任务，对运动员队伍年龄衔接等需求指标综合考评完成人员充实和调整。教练员结合市体育局组织“一校一品”活动，走出市区，到县区寻求培养输送合作契机。随着儿体校新校区迁建在即，学校选材点适时转移，做好规划方案。学校主动联合社会力量办体育，积极与马术、滑板、攀岩、艺体、霹雳舞等运动项目联系，完成注册、参赛等系列工作。</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3．加强训练过程管理。根据创建国家高水平后备人才基地要求，充分发挥训练科职能部门作用，岗位分工明确，分工不分家，强化训练工作过程精细化管理。</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加强教练员业务学习。在新形势下，竞技体育竞争越来越激烈，提高教练理论水平和业务工作能力，成为我们的当务之急，多次组织教练员业务学习，通过专家授课、实地考察，研讨交流，“理论+实践”学习研修使大家收获颇多。找差距、知不足，寻对策、勇争先，拓展新思路，展现新作为。</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5．建立和完善训练工作机制。2023年，为规范管理教练员运动员日常训练工作、把好运动员选材关，整风肃纪，科学合理利用儿体校训练教学资源，注重加强运动员队伍的管理，完善优胜劣汰机制。</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6．组织好各种参赛和运动队之间交流工作。2023年，儿体校尽可能提供运动员外出交流参赛的机会，锻炼队伍，激发活力。针对乒乓球、羽毛球等对抗性较强的运动项目性质，多次外出参加全国、省级交流比赛，成绩可圈可点。兄弟单位教练员相互切磋训练工作经验，运动员不断积累赛事经验，提升技战术和比赛适应能力，拓宽眼界，增强信心，对训练参赛有更高目标要求。</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7．做好运动员的冬、夏训慰问，伙食营养保障。切实做好运动员、教练员的伙食营养补给管理工作，包括运动员全天训练的伙食保质保量，运动员冬、夏训慰问及赛事运动员营养物资配备发放到位，将每一份关怀渗透在日常工作细节上。</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（三）以综合保障服务为抓手，落实安全稳定任务</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学校训练、后勤等部门围绕中心工作，通力协作，全力以赴做好各项保障工作。特别是下半年在人员调整的情况下，不等不靠，以高度的政治意识和责任心落实好各项保障和安全工作，全年校园秩序安全稳定，无刑事案件，无火灾事故，无人为伤害事件，无训练伤害事故。</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1．强化服务提高综合保障能力。树立“以运动队为中心”的思想，努力提高训练保障和后勤服务水平，确保训练场地和训练器材使用安全保障。强化主动服务意识，解决训练竞赛的后顾之忧。</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2．严控食品安全卫生安全。把好食堂食品原材料安全关，把控食品采购来源管理，强化明确采购流程管理，确保就餐安全。</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严控赛风赛纪和反兴奋剂安全。2023年，市儿体校始终都将赛风赛纪和反兴奋剂工作作为全校重点工作常抓不懈，明确对赛风赛纪和兴奋剂的“零容忍”态度，严明纪律，严防死守，以全面精准的宣传教育为引导，提高全员赛风赛纪和反兴奋剂的政治站位，采取一系列切实有效的措施，坚决杜绝出现兴奋剂违规事件，切实遵守公平公正的赛风赛纪。</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4．严格监控做好流行性疾病防控工作。学校在训运动员多为幼儿及小学生，流行性疾病往往会从幼儿园、小学传播带至训练场馆易交叉感染，2023年学校加大对传染病监控，积极采取做好宣传、及时上报、训前检查、全面消毒的有效措施，杜绝了流行性疾病的传播。</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南通市儿童业余体育学校</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南通市儿童业余体育学校</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1,397.19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169.34</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78.73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1,165.40</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310.52</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169.34</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1,645.26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1,645.26</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1,645.26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1,645.26</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1,645.26</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1,566.53</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78.73</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文化旅游体育与传媒支出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1,165.40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1,086.67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78.73</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1,165.40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1,086.67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78.73</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2070306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体育训练</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2070308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群众体育</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1,159.37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1,080.64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78.73</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310.52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310.52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310.52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310.52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108.08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108.08</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202.44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202.44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169.34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169.34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169.34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169.34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1,645.26</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1,086.52</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558.75</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文化旅游体育与传媒支出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1,165.40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776.00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389.40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体育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1,165.40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776.00</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389.40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2070306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体育训练</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2070308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群众体育</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1,159.37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769.97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389.40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310.52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310.52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310.52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310.52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108.08</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108.08</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202.44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202.44</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169.34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22960</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彩票公益金安排的支出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169.34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2296003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用于体育事业的彩票公益金支出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169.34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169.34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1,397.19</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1,086.67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1,086.67</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1,566.53</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1,566.53</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1,397.19</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169.34</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1,566.53</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1,566.53</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1,397.19</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169.34</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1,566.53</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1,086.52</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480.01</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文化旅游体育与传媒支出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1,086.67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776.00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1,086.67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776.00</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2070306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体育训练</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2070308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群众体育</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1,080.64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769.97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202.44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202.44</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1,086.52</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1,006.49</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869.80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869.80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162.58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162.58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54.88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54.88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27.44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16.67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16.67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35.12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35.12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136.69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136.69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67.60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67.60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46.27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46.27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1,397.19</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1,086.52</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文化旅游体育与传媒支出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1,086.67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776.00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1,086.67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776.00</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2070306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体育训练</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2070308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群众体育</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1,080.64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769.97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310.67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310.52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202.44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202.44</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1,086.52</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1,006.49</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869.80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869.80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162.58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162.58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266.30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101.30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61.91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54.88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54.88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27.44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30.00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16.67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16.67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5.51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108.08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35.12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35.12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80.03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8.56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10.28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4.96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3.10</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0.56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16.41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15.78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136.69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136.69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21.25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67.60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67.60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46.27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46.27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0.93</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0.93</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0.31</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3.10</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0.56</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0.56</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3.10</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49</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40</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169.34</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其他支出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169.34</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169.34</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22960</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彩票公益金安排的支出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169.34</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169.34</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2296003</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用于体育事业的彩票公益金支出</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169.34</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169.34</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南通市儿童业余体育学校</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234.07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230.00</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2023年度收入、支出决算总计1,645.26万元。与上年相比，收、支总计各减少412.39万元，减少20.04%。其中：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（一）收入决算总计1,645.26万元。包括：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1.本年收入决算合计1,645.26万元。与上年相比，减少412.39万元，减少20.04%，变动原因：2022年训练经费中省比赛周期输送奖励项目经费净增长，2023年不涉及此项目内容。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（二）支出决算总计1,645.26万元。包括：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1.本年支出决算合计1,645.26万元。与上年相比，减少412.39万元，减少20.04%，变动原因：2022年训练经费中省比赛周期输送奖励项目经费净增长，2023年不涉及此项目内容资金匹配递减。</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1,645.26万元，其中：财政拨款收入1,566.53万元，占95.21%；上级补助收入0万元，占0%；财政专户管理教育收费0万元，占0%；事业收入（不含专户管理教育收费）78.73万元，占4.79%；经营收入0万元，占0%；附属单位上缴收入0万元，占0%；其他收入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2023年度本年支出决算合计1,645.26万元，其中：基本支出1,086.52万元，占66.04%；项目支出558.75万元，占33.96%；上缴上级支出0万元，占0%；经营支出0万元，占0%；对附属单位补助支出0万元，占0%。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2023年度财政拨款收入、支出决算总计1,566.53万元。与上年相比，收、支总计各减少434.31万元，减少21.71%，变动原因：2022年训练经费中省比赛周期输送奖励项目经费净增长，2023年不涉及此项目内容资金匹配递减。</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2023年度财政拨款支出决算1,566.53万元，占本年支出合计的95.21%。与2023年度财政拨款支出年初预算1,377.32万元相比，完成年初预算的113.74%。其中：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（一）文化旅游体育与传媒支出（类）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1.体育（款）体育训练（项）。年初预算0万元，支出决算6.03万元，（年初预算数为0万元，无法计算完成比率）决算数与年初预算数的差异原因：年度内新增退休人员发放一次性退休补贴递增。</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2.体育（款）群众体育（项）。年初预算1,065.94万元，支出决算1,080.64万元，完成年初预算的101.38%。决算数与年初预算数的差异原因：年度内事业单位人员绩效考核、离退休人员补贴结算等人员经费递增。</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1.住房改革支出（款）住房公积金（项）。年初预算108.08万元，支出决算108.08万元，完成年初预算的100%。决算数与年初预算数相同。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2.住房改革支出（款）提租补贴（项）。年初预算203.3万元，支出决算202.44万元，完成年初预算的99.58%。决算数与年初预算数的差异原因：年度内人员调动，且新老职工交替匹配相应经费递减。</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（三）其他支出（类）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彩票公益金安排的支出（款）用于体育事业的彩票公益金支出（项）。年初预算0万元，支出决算169.34万元，（年初预算数为0万元，无法计算完成比率）决算数与年初预算数的差异原因：年度内根据单位职能工作要求，匹配资金渠道且安排训练专项经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2023年度财政拨款基本支出决算1,086.52万元，其中：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（一）人员经费1,006.49万元。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离休费、退休费、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（二）公用经费80.03万元。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主要包括：办公费、水费、电费、邮电费、差旅费、维修（护）费、培训费、公务接待费、工会经费、福利费、其他商品和服务支出。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2023年度一般公共预算财政拨款支出决算1,397.19万元。与上年相比，增加307.64万元，增长28.24%，变动原因：本单位部分项目支出安排资金来源由政府性基金预算资金更新为一般公共预算本级财力。</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2023年度一般公共预算财政拨款基本支出决算1,086.52万元，其中：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（一）人员经费1,006.49万元。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奖金、绩效工资、机关事业单位基本养老保险缴费、职业年金缴费、职工基本医疗保险缴费、公务员医疗补助缴费、其他社会保障缴费、住房公积金、其他工资福利支出、离休费、退休费、生活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（二）公用经费80.03万元。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主要包括：办公费、水费、电费、邮电费、差旅费、维修（护）费、培训费、公务接待费、工会经费、福利费、其他商品和服务支出。</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0.56万元（其中：一般公共预算支出0.56万元；政府性基金预算支出0万元；国有资本经营预算支出0万元）。与上年相比，增加0.56万元，变动原因：本单位根据业务活动性质对外洽谈、联络接待工作安排之需递增，按标准范围内合理规范使用。其中，因公出国（境）费支出0万元，占“三公”经费的0%；公务用车购置及运行维护费支出0万元，占“三公”经费的0%；公务接待费支出0.56万元，占“三公”经费的100%。2023年度财政拨款“三公”经费支出预算0.93万元（其中：一般公共预算支出0.93万元；政府性基金预算支出0万元；国有资本经营预算支出0万元）。决算数与预算数的差异原因：本单位根据业务活动性质对外洽谈、联络接待工作安排之需较上年递增，按标准范围内合理规范使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0.93万元（其中：一般公共预算支出0.93万元；政府性基金预算支出0万元；国有资本经营预算支出0万元），支出决算0.56万元（其中：一般公共预算支出0.56万元；政府性基金预算支出0万元；国有资本经营预算支出0万元），完成调整后预算的60.22%，决算数与预算数的差异原因：本单位根据业务活动性质对外洽谈、联络接待工作安排合理需求发生的必要支出，本着厉行节约，勤俭办校之原则，按标准范围内合理规范使用。其中：国内公务接待支出0.56万元，接待2批次，49人次，开支内容：一是对外业务洽谈、联络体育后备人才培养合作参与接待工作；二是省少儿体校发展现状专题调研实地察看专题座谈参与接待工作；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0.31万元（其中：一般公共预算支出0.31万元；政府性基金预算支出0万元；国有资本经营预算支出0万元），支出决算0万元（其中：一般公共预算支出0万元；政府性基金预算支出0万元；国有资本经营预算支出0万元），完成调整后预算的0%，决算数与预算数的差异原因：本单位根据工作职能要求安排无会议召开需求。2023年度全年召开会议0个，参加会议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3.1万元（其中：一般公共预算支出3.1万元；政府性基金预算支出0万元；国有资本经营预算支出0万元），支出决算3.1万元（其中：一般公共预算支出3.1万元；政府性基金预算支出0万元；国有资本经营预算支出0万元），完成调整后预算的100%，决算数与预算数相同。2023年度全年组织培训1个，组织培训40人次，开支内容：组织市儿体校全体教职员工参加主题教育暨职业素养提升研修班，聆听专家学者授课，全面提升职业素质和专业能力。</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169.34万元。与上年相比，减少741.95万元，减少81.42%，变动原因：一是本单位部分项目支出安排资金来源由政府性基金预算资金更新为一般公共预算本级财力，资金匹配递减；二是2022年训练经费中省比赛周期输送奖励项目经费净增长，2023年不涉及此项目内容资金匹配递减。</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234.07万元，其中：政府采购货物支出4.07万元、政府采购工程支出0万元、政府采购服务支出230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1台（套），单价100万元（含）以上的专用设备0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本单位共对2023年度已实施完成的9个项目开展了绩效自评价，涉及财政性资金合计389.4万元；本单位共开展1项单位整体支出绩效自评价，涉及财政性资金合计1,566.53万元。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十九、文化旅游体育与传媒支出(类)体育(款)体育训练(项)</w:t>
      </w:r>
      <w:r>
        <w:rPr>
          <w:rFonts w:ascii="仿宋" w:hAnsi="仿宋" w:cs="仿宋" w:eastAsia="仿宋"/>
          <w:b w:val="true"/>
        </w:rPr>
        <w:t>：</w:t>
      </w:r>
      <w:r>
        <w:rPr>
          <w:rFonts w:ascii="仿宋" w:eastAsia="仿宋" w:hAnsi="仿宋" w:cs="仿宋" w:hint="eastAsia"/>
        </w:rPr>
        <w:t>反映各级体育运动队训练补助及器材购置等方面的支出。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二十、文化旅游体育与传媒支出(类)体育(款)群众体育(项)</w:t>
      </w:r>
      <w:r>
        <w:rPr>
          <w:rFonts w:ascii="仿宋" w:hAnsi="仿宋" w:cs="仿宋" w:eastAsia="仿宋"/>
          <w:b w:val="true"/>
        </w:rPr>
        <w:t>：</w:t>
      </w:r>
      <w:r>
        <w:rPr>
          <w:rFonts w:ascii="仿宋" w:eastAsia="仿宋" w:hAnsi="仿宋" w:cs="仿宋" w:hint="eastAsia"/>
        </w:rPr>
        <w:t>反映业余体校和全民健身等群众体育活动方面的支出。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二十三、其他支出(类)彩票公益金安排的支出(款)用于体育事业的彩票公益金支出(项)</w:t>
      </w:r>
      <w:r>
        <w:rPr>
          <w:rFonts w:ascii="仿宋" w:hAnsi="仿宋" w:cs="仿宋" w:eastAsia="仿宋"/>
          <w:b w:val="true"/>
        </w:rPr>
        <w:t>：</w:t>
      </w:r>
      <w:r>
        <w:rPr>
          <w:rFonts w:ascii="仿宋" w:eastAsia="仿宋" w:hAnsi="仿宋" w:cs="仿宋" w:hint="eastAsia"/>
        </w:rPr>
        <w:t>反映用于体育事业的彩票公益金支出。</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南通市儿童业余体育学校</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